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97E9F" w14:textId="77777777" w:rsidR="00DA2B84" w:rsidRDefault="00DA2B84" w:rsidP="005A5F4D">
      <w:pPr>
        <w:outlineLvl w:val="0"/>
        <w:rPr>
          <w:rFonts w:ascii="Times New Roman" w:eastAsia="Times New Roman" w:hAnsi="Times New Roman" w:cs="Times New Roman"/>
          <w:b/>
          <w:bCs/>
          <w:kern w:val="36"/>
          <w:sz w:val="48"/>
          <w:szCs w:val="48"/>
          <w:lang w:eastAsia="de-DE"/>
          <w14:ligatures w14:val="none"/>
        </w:rPr>
      </w:pPr>
    </w:p>
    <w:p w14:paraId="407E40CB" w14:textId="77777777" w:rsidR="00DA2B84" w:rsidRDefault="00DA2B84" w:rsidP="005A5F4D">
      <w:pPr>
        <w:outlineLvl w:val="0"/>
        <w:rPr>
          <w:rFonts w:ascii="Times New Roman" w:eastAsia="Times New Roman" w:hAnsi="Times New Roman" w:cs="Times New Roman"/>
          <w:b/>
          <w:bCs/>
          <w:kern w:val="36"/>
          <w:sz w:val="48"/>
          <w:szCs w:val="48"/>
          <w:lang w:eastAsia="de-DE"/>
          <w14:ligatures w14:val="none"/>
        </w:rPr>
      </w:pPr>
    </w:p>
    <w:p w14:paraId="6A52C6B8" w14:textId="716B67E9" w:rsidR="005A5F4D" w:rsidRPr="005A5F4D" w:rsidRDefault="005A5F4D" w:rsidP="005A5F4D">
      <w:pPr>
        <w:outlineLvl w:val="0"/>
        <w:rPr>
          <w:rFonts w:ascii="Times New Roman" w:eastAsia="Times New Roman" w:hAnsi="Times New Roman" w:cs="Times New Roman"/>
          <w:b/>
          <w:bCs/>
          <w:kern w:val="36"/>
          <w:sz w:val="48"/>
          <w:szCs w:val="48"/>
          <w:lang w:eastAsia="de-DE"/>
          <w14:ligatures w14:val="none"/>
        </w:rPr>
      </w:pPr>
      <w:r w:rsidRPr="005A5F4D">
        <w:rPr>
          <w:rFonts w:ascii="Times New Roman" w:eastAsia="Times New Roman" w:hAnsi="Times New Roman" w:cs="Times New Roman"/>
          <w:b/>
          <w:bCs/>
          <w:kern w:val="36"/>
          <w:sz w:val="48"/>
          <w:szCs w:val="48"/>
          <w:lang w:eastAsia="de-DE"/>
          <w14:ligatures w14:val="none"/>
        </w:rPr>
        <w:t>AKG Group expands manufacturing again with SEL</w:t>
      </w:r>
      <w:r>
        <w:rPr>
          <w:rFonts w:ascii="Times New Roman" w:eastAsia="Times New Roman" w:hAnsi="Times New Roman" w:cs="Times New Roman"/>
          <w:b/>
          <w:bCs/>
          <w:kern w:val="36"/>
          <w:sz w:val="48"/>
          <w:szCs w:val="48"/>
          <w:lang w:eastAsia="de-DE"/>
          <w14:ligatures w14:val="none"/>
        </w:rPr>
        <w:t>LACAN</w:t>
      </w:r>
      <w:r w:rsidRPr="005A5F4D">
        <w:rPr>
          <w:rFonts w:ascii="Times New Roman" w:eastAsia="Times New Roman" w:hAnsi="Times New Roman" w:cs="Times New Roman"/>
          <w:b/>
          <w:bCs/>
          <w:kern w:val="36"/>
          <w:sz w:val="48"/>
          <w:szCs w:val="48"/>
          <w:lang w:eastAsia="de-DE"/>
          <w14:ligatures w14:val="none"/>
        </w:rPr>
        <w:t xml:space="preserve"> furnace technology</w:t>
      </w:r>
    </w:p>
    <w:p w14:paraId="12E6AA86" w14:textId="77777777" w:rsidR="005A5F4D" w:rsidRDefault="005A5F4D" w:rsidP="005A5F4D">
      <w:pPr>
        <w:rPr>
          <w:rFonts w:ascii="Arial" w:eastAsia="Times New Roman" w:hAnsi="Arial" w:cs="Arial"/>
          <w:b/>
          <w:bCs/>
          <w:kern w:val="0"/>
          <w:sz w:val="24"/>
          <w:szCs w:val="24"/>
          <w:lang w:eastAsia="de-DE"/>
          <w14:ligatures w14:val="none"/>
        </w:rPr>
      </w:pPr>
    </w:p>
    <w:p w14:paraId="4FCDC377" w14:textId="77777777" w:rsidR="00523AE4" w:rsidRPr="00733EE9" w:rsidRDefault="005A5F4D" w:rsidP="00523AE4">
      <w:pPr>
        <w:spacing w:line="288" w:lineRule="auto"/>
        <w:rPr>
          <w:rFonts w:ascii="Times New Roman" w:hAnsi="Times New Roman" w:cs="Times New Roman"/>
          <w:sz w:val="24"/>
          <w:szCs w:val="24"/>
        </w:rPr>
      </w:pPr>
      <w:r w:rsidRPr="00733EE9">
        <w:rPr>
          <w:rFonts w:ascii="Times New Roman" w:hAnsi="Times New Roman" w:cs="Times New Roman"/>
          <w:sz w:val="24"/>
          <w:szCs w:val="24"/>
        </w:rPr>
        <w:t xml:space="preserve">SELLACAN has received another order from its long-standing partner AKG for the delivery of two CAB (Controlled Atmosphere Brazing) furnace plants equipped with an integrated vacuum/purge system. </w:t>
      </w:r>
    </w:p>
    <w:p w14:paraId="049E7849" w14:textId="5CFF3E11" w:rsidR="005A5F4D" w:rsidRPr="00523AE4" w:rsidRDefault="005A5F4D" w:rsidP="005A5F4D">
      <w:pPr>
        <w:spacing w:after="120" w:line="288" w:lineRule="auto"/>
        <w:rPr>
          <w:rFonts w:ascii="Times New Roman" w:hAnsi="Times New Roman" w:cs="Times New Roman"/>
          <w:sz w:val="24"/>
          <w:szCs w:val="24"/>
        </w:rPr>
      </w:pPr>
      <w:r w:rsidRPr="00523AE4">
        <w:rPr>
          <w:rFonts w:ascii="Times New Roman" w:hAnsi="Times New Roman" w:cs="Times New Roman"/>
          <w:sz w:val="24"/>
          <w:szCs w:val="24"/>
        </w:rPr>
        <w:t xml:space="preserve">The new </w:t>
      </w:r>
      <w:r w:rsidR="00523AE4">
        <w:rPr>
          <w:rFonts w:ascii="Times New Roman" w:hAnsi="Times New Roman" w:cs="Times New Roman"/>
          <w:sz w:val="24"/>
          <w:szCs w:val="24"/>
        </w:rPr>
        <w:t>equipment</w:t>
      </w:r>
      <w:r w:rsidRPr="00523AE4">
        <w:rPr>
          <w:rFonts w:ascii="Times New Roman" w:hAnsi="Times New Roman" w:cs="Times New Roman"/>
          <w:sz w:val="24"/>
          <w:szCs w:val="24"/>
        </w:rPr>
        <w:t xml:space="preserve"> will be installed at AKG's production sites in Brazil and China.</w:t>
      </w:r>
    </w:p>
    <w:p w14:paraId="4E792A29" w14:textId="6D07E11A" w:rsidR="005A5F4D" w:rsidRPr="00523AE4" w:rsidRDefault="005A5F4D" w:rsidP="005A5F4D">
      <w:pPr>
        <w:spacing w:after="120" w:line="288" w:lineRule="auto"/>
        <w:rPr>
          <w:rFonts w:ascii="Times New Roman" w:hAnsi="Times New Roman" w:cs="Times New Roman"/>
          <w:sz w:val="24"/>
          <w:szCs w:val="24"/>
        </w:rPr>
      </w:pPr>
      <w:r w:rsidRPr="00733EE9">
        <w:rPr>
          <w:rFonts w:ascii="Times New Roman" w:hAnsi="Times New Roman" w:cs="Times New Roman"/>
          <w:sz w:val="24"/>
          <w:szCs w:val="24"/>
        </w:rPr>
        <w:t xml:space="preserve">This order further expands the use of </w:t>
      </w:r>
      <w:r w:rsidR="00DA2B84">
        <w:rPr>
          <w:rFonts w:ascii="Times New Roman" w:hAnsi="Times New Roman" w:cs="Times New Roman"/>
          <w:sz w:val="24"/>
          <w:szCs w:val="24"/>
        </w:rPr>
        <w:t>SELLACAN</w:t>
      </w:r>
      <w:r w:rsidRPr="00733EE9">
        <w:rPr>
          <w:rFonts w:ascii="Times New Roman" w:hAnsi="Times New Roman" w:cs="Times New Roman"/>
          <w:sz w:val="24"/>
          <w:szCs w:val="24"/>
        </w:rPr>
        <w:t xml:space="preserve"> furnace technology within AKG's international production network. </w:t>
      </w:r>
      <w:r w:rsidRPr="00523AE4">
        <w:rPr>
          <w:rFonts w:ascii="Times New Roman" w:hAnsi="Times New Roman" w:cs="Times New Roman"/>
          <w:sz w:val="24"/>
          <w:szCs w:val="24"/>
        </w:rPr>
        <w:t xml:space="preserve">CAB furnace lines supplied by </w:t>
      </w:r>
      <w:r w:rsidR="00DA2B84">
        <w:rPr>
          <w:rFonts w:ascii="Times New Roman" w:hAnsi="Times New Roman" w:cs="Times New Roman"/>
          <w:sz w:val="24"/>
          <w:szCs w:val="24"/>
        </w:rPr>
        <w:t>SELLACAN</w:t>
      </w:r>
      <w:r w:rsidRPr="00523AE4">
        <w:rPr>
          <w:rFonts w:ascii="Times New Roman" w:hAnsi="Times New Roman" w:cs="Times New Roman"/>
          <w:sz w:val="24"/>
          <w:szCs w:val="24"/>
        </w:rPr>
        <w:t xml:space="preserve"> are already in operation at AKG sites in </w:t>
      </w:r>
      <w:r w:rsidR="00523AE4" w:rsidRPr="00523AE4">
        <w:rPr>
          <w:rFonts w:ascii="Times New Roman" w:hAnsi="Times New Roman" w:cs="Times New Roman"/>
          <w:sz w:val="24"/>
          <w:szCs w:val="24"/>
        </w:rPr>
        <w:t>In</w:t>
      </w:r>
      <w:r w:rsidR="00523AE4">
        <w:rPr>
          <w:rFonts w:ascii="Times New Roman" w:hAnsi="Times New Roman" w:cs="Times New Roman"/>
          <w:sz w:val="24"/>
          <w:szCs w:val="24"/>
        </w:rPr>
        <w:t xml:space="preserve">dia, </w:t>
      </w:r>
      <w:r w:rsidRPr="00523AE4">
        <w:rPr>
          <w:rFonts w:ascii="Times New Roman" w:hAnsi="Times New Roman" w:cs="Times New Roman"/>
          <w:sz w:val="24"/>
          <w:szCs w:val="24"/>
        </w:rPr>
        <w:t>Mexico, and Germany.</w:t>
      </w:r>
    </w:p>
    <w:p w14:paraId="19535617" w14:textId="0401B46B" w:rsidR="005A5F4D" w:rsidRPr="00733EE9" w:rsidRDefault="005A5F4D" w:rsidP="005A5F4D">
      <w:pPr>
        <w:spacing w:after="120" w:line="288" w:lineRule="auto"/>
        <w:rPr>
          <w:rFonts w:ascii="Times New Roman" w:hAnsi="Times New Roman" w:cs="Times New Roman"/>
          <w:sz w:val="24"/>
          <w:szCs w:val="24"/>
        </w:rPr>
      </w:pPr>
      <w:r w:rsidRPr="00733EE9">
        <w:rPr>
          <w:rFonts w:ascii="Times New Roman" w:hAnsi="Times New Roman" w:cs="Times New Roman"/>
          <w:sz w:val="24"/>
          <w:szCs w:val="24"/>
        </w:rPr>
        <w:t xml:space="preserve">AKG's products are used in a wide range of demanding applications, including trains, buses and passenger cars, agricultural and construction machinery, high-performance generators, power electronics, wind turbines, and aviation cooling systems. The furnace technology from </w:t>
      </w:r>
      <w:r w:rsidR="00DA2B84">
        <w:rPr>
          <w:rFonts w:ascii="Times New Roman" w:hAnsi="Times New Roman" w:cs="Times New Roman"/>
          <w:sz w:val="24"/>
          <w:szCs w:val="24"/>
        </w:rPr>
        <w:t>SELLACAN</w:t>
      </w:r>
      <w:r w:rsidRPr="00733EE9">
        <w:rPr>
          <w:rFonts w:ascii="Times New Roman" w:hAnsi="Times New Roman" w:cs="Times New Roman"/>
          <w:sz w:val="24"/>
          <w:szCs w:val="24"/>
        </w:rPr>
        <w:t xml:space="preserve"> supports the manufacture of these high-performance cooling solutions and ensures controlled and reproducible conditions during the brazing process.</w:t>
      </w:r>
    </w:p>
    <w:p w14:paraId="2D1A791D" w14:textId="77777777" w:rsidR="005A5F4D" w:rsidRPr="00733EE9" w:rsidRDefault="005A5F4D" w:rsidP="003A4B59">
      <w:pPr>
        <w:spacing w:before="240" w:after="240" w:line="288" w:lineRule="auto"/>
        <w:rPr>
          <w:rFonts w:ascii="Times New Roman" w:hAnsi="Times New Roman" w:cs="Times New Roman"/>
          <w:b/>
          <w:bCs/>
          <w:sz w:val="36"/>
          <w:szCs w:val="36"/>
        </w:rPr>
      </w:pPr>
      <w:r w:rsidRPr="00733EE9">
        <w:rPr>
          <w:rFonts w:ascii="Times New Roman" w:hAnsi="Times New Roman" w:cs="Times New Roman"/>
          <w:b/>
          <w:bCs/>
          <w:sz w:val="36"/>
          <w:szCs w:val="36"/>
        </w:rPr>
        <w:t>Flexible furnace technology for a wide range of heat exchangers</w:t>
      </w:r>
    </w:p>
    <w:p w14:paraId="6BA50F52" w14:textId="25ED95E2" w:rsidR="005A5F4D" w:rsidRPr="00376B58" w:rsidRDefault="00376B58" w:rsidP="005A5F4D">
      <w:pPr>
        <w:spacing w:after="120" w:line="288" w:lineRule="auto"/>
        <w:rPr>
          <w:rFonts w:ascii="Times New Roman" w:hAnsi="Times New Roman" w:cs="Times New Roman"/>
          <w:sz w:val="24"/>
          <w:szCs w:val="24"/>
        </w:rPr>
      </w:pPr>
      <w:r w:rsidRPr="00376B58">
        <w:rPr>
          <w:rFonts w:ascii="Times New Roman" w:hAnsi="Times New Roman" w:cs="Times New Roman"/>
          <w:sz w:val="24"/>
          <w:szCs w:val="24"/>
        </w:rPr>
        <w:t xml:space="preserve">The CAB tower furnace plants </w:t>
      </w:r>
      <w:r w:rsidR="0089108C">
        <w:rPr>
          <w:rFonts w:ascii="Times New Roman" w:hAnsi="Times New Roman" w:cs="Times New Roman"/>
          <w:sz w:val="24"/>
          <w:szCs w:val="24"/>
        </w:rPr>
        <w:t xml:space="preserve">– </w:t>
      </w:r>
      <w:r w:rsidRPr="00376B58">
        <w:rPr>
          <w:rFonts w:ascii="Times New Roman" w:hAnsi="Times New Roman" w:cs="Times New Roman"/>
          <w:sz w:val="24"/>
          <w:szCs w:val="24"/>
        </w:rPr>
        <w:t>comprising a degreasing/drying/preheating oven, a preparation/cooling chamber, a CAB brazing chamber, final air cooling, and a telescopic/sliding loading table</w:t>
      </w:r>
      <w:r w:rsidR="0089108C">
        <w:rPr>
          <w:rFonts w:ascii="Times New Roman" w:hAnsi="Times New Roman" w:cs="Times New Roman"/>
          <w:sz w:val="24"/>
          <w:szCs w:val="24"/>
        </w:rPr>
        <w:t xml:space="preserve"> –</w:t>
      </w:r>
      <w:r w:rsidRPr="00376B58">
        <w:rPr>
          <w:rFonts w:ascii="Times New Roman" w:hAnsi="Times New Roman" w:cs="Times New Roman"/>
          <w:sz w:val="24"/>
          <w:szCs w:val="24"/>
        </w:rPr>
        <w:t xml:space="preserve"> are designed to offer maximum flexibility when brazing various types of aluminum heat exchangers. The components can vary in size, weight, and design, and the furnace technology can also handle XXL dimensions.</w:t>
      </w:r>
      <w:r w:rsidR="005A5F4D" w:rsidRPr="00376B58">
        <w:rPr>
          <w:rFonts w:ascii="Times New Roman" w:hAnsi="Times New Roman" w:cs="Times New Roman"/>
          <w:sz w:val="24"/>
          <w:szCs w:val="24"/>
        </w:rPr>
        <w:t>.</w:t>
      </w:r>
    </w:p>
    <w:p w14:paraId="3649A910" w14:textId="47667154" w:rsidR="005A5F4D" w:rsidRPr="00733EE9" w:rsidRDefault="00376B58" w:rsidP="005A5F4D">
      <w:pPr>
        <w:spacing w:after="120" w:line="288" w:lineRule="auto"/>
        <w:rPr>
          <w:rFonts w:ascii="Times New Roman" w:hAnsi="Times New Roman" w:cs="Times New Roman"/>
          <w:sz w:val="24"/>
          <w:szCs w:val="24"/>
        </w:rPr>
      </w:pPr>
      <w:r w:rsidRPr="00376B58">
        <w:rPr>
          <w:rFonts w:ascii="Times New Roman" w:hAnsi="Times New Roman" w:cs="Times New Roman"/>
          <w:sz w:val="24"/>
          <w:szCs w:val="24"/>
        </w:rPr>
        <w:t>An</w:t>
      </w:r>
      <w:r>
        <w:rPr>
          <w:rFonts w:ascii="Times New Roman" w:hAnsi="Times New Roman" w:cs="Times New Roman"/>
          <w:sz w:val="24"/>
          <w:szCs w:val="24"/>
        </w:rPr>
        <w:t xml:space="preserve"> operational advantage is that the brazing lines support</w:t>
      </w:r>
      <w:r w:rsidR="005A5F4D" w:rsidRPr="00376B58">
        <w:rPr>
          <w:rFonts w:ascii="Times New Roman" w:hAnsi="Times New Roman" w:cs="Times New Roman"/>
          <w:sz w:val="24"/>
          <w:szCs w:val="24"/>
        </w:rPr>
        <w:t xml:space="preserve"> both vertical and horizontal brazing </w:t>
      </w:r>
      <w:r>
        <w:rPr>
          <w:rFonts w:ascii="Times New Roman" w:hAnsi="Times New Roman" w:cs="Times New Roman"/>
          <w:sz w:val="24"/>
          <w:szCs w:val="24"/>
        </w:rPr>
        <w:t>with</w:t>
      </w:r>
      <w:r w:rsidR="005A5F4D" w:rsidRPr="00376B58">
        <w:rPr>
          <w:rFonts w:ascii="Times New Roman" w:hAnsi="Times New Roman" w:cs="Times New Roman"/>
          <w:sz w:val="24"/>
          <w:szCs w:val="24"/>
        </w:rPr>
        <w:t xml:space="preserve">in the </w:t>
      </w:r>
      <w:r>
        <w:rPr>
          <w:rFonts w:ascii="Times New Roman" w:hAnsi="Times New Roman" w:cs="Times New Roman"/>
          <w:sz w:val="24"/>
          <w:szCs w:val="24"/>
        </w:rPr>
        <w:t>s</w:t>
      </w:r>
      <w:r w:rsidR="005A5F4D" w:rsidRPr="00376B58">
        <w:rPr>
          <w:rFonts w:ascii="Times New Roman" w:hAnsi="Times New Roman" w:cs="Times New Roman"/>
          <w:sz w:val="24"/>
          <w:szCs w:val="24"/>
        </w:rPr>
        <w:t xml:space="preserve">ame furnace. </w:t>
      </w:r>
      <w:r>
        <w:rPr>
          <w:rFonts w:ascii="Times New Roman" w:hAnsi="Times New Roman" w:cs="Times New Roman"/>
          <w:sz w:val="24"/>
          <w:szCs w:val="24"/>
        </w:rPr>
        <w:t xml:space="preserve">This dual capability </w:t>
      </w:r>
      <w:r w:rsidR="005A5F4D" w:rsidRPr="00523AE4">
        <w:rPr>
          <w:rFonts w:ascii="Times New Roman" w:hAnsi="Times New Roman" w:cs="Times New Roman"/>
          <w:sz w:val="24"/>
          <w:szCs w:val="24"/>
        </w:rPr>
        <w:t xml:space="preserve">allows </w:t>
      </w:r>
      <w:r>
        <w:rPr>
          <w:rFonts w:ascii="Times New Roman" w:hAnsi="Times New Roman" w:cs="Times New Roman"/>
          <w:sz w:val="24"/>
          <w:szCs w:val="24"/>
        </w:rPr>
        <w:t xml:space="preserve">operators to process a wide variety of </w:t>
      </w:r>
      <w:r w:rsidR="005A5F4D" w:rsidRPr="00523AE4">
        <w:rPr>
          <w:rFonts w:ascii="Times New Roman" w:hAnsi="Times New Roman" w:cs="Times New Roman"/>
          <w:sz w:val="24"/>
          <w:szCs w:val="24"/>
        </w:rPr>
        <w:t xml:space="preserve">heat exchanger types and configurations </w:t>
      </w:r>
      <w:r>
        <w:rPr>
          <w:rFonts w:ascii="Times New Roman" w:hAnsi="Times New Roman" w:cs="Times New Roman"/>
          <w:sz w:val="24"/>
          <w:szCs w:val="24"/>
        </w:rPr>
        <w:t>on a single plant</w:t>
      </w:r>
      <w:r w:rsidR="005A5F4D" w:rsidRPr="00523AE4">
        <w:rPr>
          <w:rFonts w:ascii="Times New Roman" w:hAnsi="Times New Roman" w:cs="Times New Roman"/>
          <w:sz w:val="24"/>
          <w:szCs w:val="24"/>
        </w:rPr>
        <w:t xml:space="preserve">, including </w:t>
      </w:r>
      <w:r w:rsidR="00DA2B84">
        <w:rPr>
          <w:rFonts w:ascii="Times New Roman" w:hAnsi="Times New Roman" w:cs="Times New Roman"/>
          <w:sz w:val="24"/>
          <w:szCs w:val="24"/>
        </w:rPr>
        <w:t>c</w:t>
      </w:r>
      <w:r w:rsidR="005A5F4D" w:rsidRPr="00523AE4">
        <w:rPr>
          <w:rFonts w:ascii="Times New Roman" w:hAnsi="Times New Roman" w:cs="Times New Roman"/>
          <w:sz w:val="24"/>
          <w:szCs w:val="24"/>
        </w:rPr>
        <w:t xml:space="preserve">harge </w:t>
      </w:r>
      <w:r w:rsidR="00DA2B84">
        <w:rPr>
          <w:rFonts w:ascii="Times New Roman" w:hAnsi="Times New Roman" w:cs="Times New Roman"/>
          <w:sz w:val="24"/>
          <w:szCs w:val="24"/>
        </w:rPr>
        <w:t>a</w:t>
      </w:r>
      <w:r w:rsidR="005A5F4D" w:rsidRPr="00523AE4">
        <w:rPr>
          <w:rFonts w:ascii="Times New Roman" w:hAnsi="Times New Roman" w:cs="Times New Roman"/>
          <w:sz w:val="24"/>
          <w:szCs w:val="24"/>
        </w:rPr>
        <w:t xml:space="preserve">ir </w:t>
      </w:r>
      <w:r w:rsidR="00DA2B84">
        <w:rPr>
          <w:rFonts w:ascii="Times New Roman" w:hAnsi="Times New Roman" w:cs="Times New Roman"/>
          <w:sz w:val="24"/>
          <w:szCs w:val="24"/>
        </w:rPr>
        <w:t>c</w:t>
      </w:r>
      <w:r w:rsidR="005A5F4D" w:rsidRPr="00523AE4">
        <w:rPr>
          <w:rFonts w:ascii="Times New Roman" w:hAnsi="Times New Roman" w:cs="Times New Roman"/>
          <w:sz w:val="24"/>
          <w:szCs w:val="24"/>
        </w:rPr>
        <w:t>oolers</w:t>
      </w:r>
      <w:r w:rsidR="00523AE4" w:rsidRPr="00523AE4">
        <w:rPr>
          <w:rFonts w:ascii="Times New Roman" w:hAnsi="Times New Roman" w:cs="Times New Roman"/>
          <w:sz w:val="24"/>
          <w:szCs w:val="24"/>
        </w:rPr>
        <w:t xml:space="preserve"> </w:t>
      </w:r>
      <w:r w:rsidR="00523AE4">
        <w:rPr>
          <w:rFonts w:ascii="Times New Roman" w:hAnsi="Times New Roman" w:cs="Times New Roman"/>
          <w:sz w:val="24"/>
          <w:szCs w:val="24"/>
        </w:rPr>
        <w:t>(CAC</w:t>
      </w:r>
      <w:r w:rsidR="005A5F4D" w:rsidRPr="00523AE4">
        <w:rPr>
          <w:rFonts w:ascii="Times New Roman" w:hAnsi="Times New Roman" w:cs="Times New Roman"/>
          <w:sz w:val="24"/>
          <w:szCs w:val="24"/>
        </w:rPr>
        <w:t xml:space="preserve">), oil coolers, and plate-and-bar (P&amp;B) heat exchangers. </w:t>
      </w:r>
      <w:r w:rsidR="005A5F4D" w:rsidRPr="00733EE9">
        <w:rPr>
          <w:rFonts w:ascii="Times New Roman" w:hAnsi="Times New Roman" w:cs="Times New Roman"/>
          <w:sz w:val="24"/>
          <w:szCs w:val="24"/>
        </w:rPr>
        <w:t>Different core types can also be easily interchanged, providing flexibility for a broad spectrum of applications.</w:t>
      </w:r>
    </w:p>
    <w:p w14:paraId="42E7906C" w14:textId="77777777" w:rsidR="005A5F4D" w:rsidRPr="00733EE9" w:rsidRDefault="005A5F4D" w:rsidP="005A5F4D">
      <w:pPr>
        <w:spacing w:after="120" w:line="288" w:lineRule="auto"/>
        <w:rPr>
          <w:rFonts w:ascii="Times New Roman" w:hAnsi="Times New Roman" w:cs="Times New Roman"/>
          <w:sz w:val="24"/>
          <w:szCs w:val="24"/>
        </w:rPr>
      </w:pPr>
      <w:r w:rsidRPr="00733EE9">
        <w:rPr>
          <w:rFonts w:ascii="Times New Roman" w:hAnsi="Times New Roman" w:cs="Times New Roman"/>
          <w:sz w:val="24"/>
          <w:szCs w:val="24"/>
        </w:rPr>
        <w:t>The furnace technology is suitable for test series and the development of heat exchangers as well as for large-scale series production. This combination allows manufacturers to use the same furnace technology for development activities and series production, adapting to different production requirements.</w:t>
      </w:r>
    </w:p>
    <w:p w14:paraId="489C4F42" w14:textId="77777777" w:rsidR="005A5F4D" w:rsidRPr="00733EE9" w:rsidRDefault="005A5F4D" w:rsidP="005A5F4D">
      <w:pPr>
        <w:spacing w:after="120" w:line="288" w:lineRule="auto"/>
        <w:rPr>
          <w:rFonts w:ascii="Times New Roman" w:hAnsi="Times New Roman" w:cs="Times New Roman"/>
          <w:sz w:val="24"/>
          <w:szCs w:val="24"/>
        </w:rPr>
      </w:pPr>
      <w:r w:rsidRPr="00733EE9">
        <w:rPr>
          <w:rFonts w:ascii="Times New Roman" w:hAnsi="Times New Roman" w:cs="Times New Roman"/>
          <w:sz w:val="24"/>
          <w:szCs w:val="24"/>
        </w:rPr>
        <w:t>Low energy consumption, short heat-up times, and simple standby operation additionally contribute to efficient furnace operations. The automatic brazing rack circulation supports the handling of different heat exchanger batches within the production process.</w:t>
      </w:r>
    </w:p>
    <w:p w14:paraId="2F997084" w14:textId="77777777" w:rsidR="005A5F4D" w:rsidRPr="00733EE9" w:rsidRDefault="005A5F4D" w:rsidP="003A4B59">
      <w:pPr>
        <w:spacing w:before="240" w:after="240" w:line="288" w:lineRule="auto"/>
        <w:rPr>
          <w:rFonts w:ascii="Times New Roman" w:hAnsi="Times New Roman" w:cs="Times New Roman"/>
          <w:b/>
          <w:bCs/>
          <w:sz w:val="36"/>
          <w:szCs w:val="36"/>
        </w:rPr>
      </w:pPr>
      <w:r w:rsidRPr="00733EE9">
        <w:rPr>
          <w:rFonts w:ascii="Times New Roman" w:hAnsi="Times New Roman" w:cs="Times New Roman"/>
          <w:b/>
          <w:bCs/>
          <w:sz w:val="36"/>
          <w:szCs w:val="36"/>
        </w:rPr>
        <w:t>Precise process control for reliable brazing</w:t>
      </w:r>
    </w:p>
    <w:p w14:paraId="2C7E541E" w14:textId="77777777" w:rsidR="005A5F4D" w:rsidRPr="00733EE9" w:rsidRDefault="005A5F4D" w:rsidP="005A5F4D">
      <w:pPr>
        <w:spacing w:after="120" w:line="288" w:lineRule="auto"/>
        <w:rPr>
          <w:rFonts w:ascii="Times New Roman" w:hAnsi="Times New Roman" w:cs="Times New Roman"/>
          <w:sz w:val="24"/>
          <w:szCs w:val="24"/>
        </w:rPr>
      </w:pPr>
      <w:r w:rsidRPr="00733EE9">
        <w:rPr>
          <w:rFonts w:ascii="Times New Roman" w:hAnsi="Times New Roman" w:cs="Times New Roman"/>
          <w:sz w:val="24"/>
          <w:szCs w:val="24"/>
        </w:rPr>
        <w:t>Precise temperature control with up to ten heating zones, combined with a controlled atmosphere, enables uniform and reproducible brazing conditions throughout the furnace. This combination supports reliable brazing processes and contributes to the performance and longevity of the finished heat exchangers.</w:t>
      </w:r>
    </w:p>
    <w:p w14:paraId="59796C30" w14:textId="77777777" w:rsidR="00376B58" w:rsidRPr="00733EE9" w:rsidRDefault="00376B58" w:rsidP="005A5F4D">
      <w:pPr>
        <w:spacing w:after="120" w:line="288" w:lineRule="auto"/>
        <w:rPr>
          <w:rFonts w:ascii="Times New Roman" w:hAnsi="Times New Roman" w:cs="Times New Roman"/>
          <w:sz w:val="24"/>
          <w:szCs w:val="24"/>
        </w:rPr>
      </w:pPr>
    </w:p>
    <w:p w14:paraId="64A01A20" w14:textId="77777777" w:rsidR="00376B58" w:rsidRPr="00733EE9" w:rsidRDefault="00376B58" w:rsidP="005A5F4D">
      <w:pPr>
        <w:spacing w:after="120" w:line="288" w:lineRule="auto"/>
        <w:rPr>
          <w:rFonts w:ascii="Times New Roman" w:hAnsi="Times New Roman" w:cs="Times New Roman"/>
          <w:sz w:val="24"/>
          <w:szCs w:val="24"/>
        </w:rPr>
      </w:pPr>
    </w:p>
    <w:p w14:paraId="2E1671ED" w14:textId="77777777" w:rsidR="00376B58" w:rsidRPr="00733EE9" w:rsidRDefault="00376B58" w:rsidP="005A5F4D">
      <w:pPr>
        <w:spacing w:after="120" w:line="288" w:lineRule="auto"/>
        <w:rPr>
          <w:rFonts w:ascii="Times New Roman" w:hAnsi="Times New Roman" w:cs="Times New Roman"/>
          <w:sz w:val="24"/>
          <w:szCs w:val="24"/>
        </w:rPr>
      </w:pPr>
    </w:p>
    <w:p w14:paraId="056DC66A" w14:textId="77777777" w:rsidR="005A5F4D" w:rsidRPr="00733EE9" w:rsidRDefault="005A5F4D" w:rsidP="003A4B59">
      <w:pPr>
        <w:spacing w:before="240" w:after="240" w:line="288" w:lineRule="auto"/>
        <w:rPr>
          <w:rFonts w:ascii="Times New Roman" w:hAnsi="Times New Roman" w:cs="Times New Roman"/>
          <w:b/>
          <w:bCs/>
          <w:sz w:val="36"/>
          <w:szCs w:val="36"/>
        </w:rPr>
      </w:pPr>
      <w:r w:rsidRPr="00733EE9">
        <w:rPr>
          <w:rFonts w:ascii="Times New Roman" w:hAnsi="Times New Roman" w:cs="Times New Roman"/>
          <w:b/>
          <w:bCs/>
          <w:sz w:val="36"/>
          <w:szCs w:val="36"/>
        </w:rPr>
        <w:t>Vacuum/purge system for optimized brazing conditions</w:t>
      </w:r>
    </w:p>
    <w:p w14:paraId="5F6176DF" w14:textId="5362E11C" w:rsidR="005A5F4D" w:rsidRPr="00733EE9" w:rsidRDefault="005A5F4D" w:rsidP="005A5F4D">
      <w:pPr>
        <w:spacing w:after="120" w:line="288" w:lineRule="auto"/>
        <w:rPr>
          <w:rFonts w:ascii="Times New Roman" w:hAnsi="Times New Roman" w:cs="Times New Roman"/>
          <w:sz w:val="24"/>
          <w:szCs w:val="24"/>
        </w:rPr>
      </w:pPr>
      <w:r w:rsidRPr="00733EE9">
        <w:rPr>
          <w:rFonts w:ascii="Times New Roman" w:hAnsi="Times New Roman" w:cs="Times New Roman"/>
          <w:sz w:val="24"/>
          <w:szCs w:val="24"/>
        </w:rPr>
        <w:t xml:space="preserve">A key feature of the CAB furnace series </w:t>
      </w:r>
      <w:r w:rsidR="00DA2B84">
        <w:rPr>
          <w:rFonts w:ascii="Times New Roman" w:hAnsi="Times New Roman" w:cs="Times New Roman"/>
          <w:sz w:val="24"/>
          <w:szCs w:val="24"/>
        </w:rPr>
        <w:t xml:space="preserve">for AKG </w:t>
      </w:r>
      <w:r w:rsidRPr="00733EE9">
        <w:rPr>
          <w:rFonts w:ascii="Times New Roman" w:hAnsi="Times New Roman" w:cs="Times New Roman"/>
          <w:sz w:val="24"/>
          <w:szCs w:val="24"/>
        </w:rPr>
        <w:t>is the integrated vacuum/purge system. It is designed to replace the remaining air inside the heat exchanger with a nitrogen atmosphere prior to the brazing process, thereby significantly reducing the oxygen content inside the component.</w:t>
      </w:r>
    </w:p>
    <w:p w14:paraId="391A22DA" w14:textId="77777777" w:rsidR="005A5F4D" w:rsidRPr="00733EE9" w:rsidRDefault="005A5F4D" w:rsidP="005A5F4D">
      <w:pPr>
        <w:spacing w:after="120" w:line="288" w:lineRule="auto"/>
        <w:rPr>
          <w:rFonts w:ascii="Times New Roman" w:hAnsi="Times New Roman" w:cs="Times New Roman"/>
          <w:sz w:val="24"/>
          <w:szCs w:val="24"/>
        </w:rPr>
      </w:pPr>
      <w:r w:rsidRPr="00733EE9">
        <w:rPr>
          <w:rFonts w:ascii="Times New Roman" w:hAnsi="Times New Roman" w:cs="Times New Roman"/>
          <w:sz w:val="24"/>
          <w:szCs w:val="24"/>
        </w:rPr>
        <w:t>This additional process step is particularly beneficial for heat exchangers with complex or difficult-to-access internal channel geometries. By reducing the oxygen content in the component before it enters the brazing furnace, the system creates an optimized, controlled, and reproducible atmosphere for the subsequent brazing process, ensuring reliable brazing quality in demanding heat exchanger applications.</w:t>
      </w:r>
    </w:p>
    <w:p w14:paraId="3AB7D6DE" w14:textId="77777777" w:rsidR="005A5F4D" w:rsidRPr="005A5F4D" w:rsidRDefault="005A5F4D" w:rsidP="003A4B59">
      <w:pPr>
        <w:spacing w:before="240" w:after="240" w:line="288" w:lineRule="auto"/>
        <w:rPr>
          <w:rFonts w:ascii="Times New Roman" w:hAnsi="Times New Roman" w:cs="Times New Roman"/>
          <w:b/>
          <w:bCs/>
          <w:sz w:val="36"/>
          <w:szCs w:val="36"/>
          <w:lang w:val="de-DE"/>
        </w:rPr>
      </w:pPr>
      <w:r w:rsidRPr="005A5F4D">
        <w:rPr>
          <w:rFonts w:ascii="Times New Roman" w:hAnsi="Times New Roman" w:cs="Times New Roman"/>
          <w:b/>
          <w:bCs/>
          <w:sz w:val="36"/>
          <w:szCs w:val="36"/>
          <w:lang w:val="de-DE"/>
        </w:rPr>
        <w:t>Key Benefits</w:t>
      </w:r>
    </w:p>
    <w:p w14:paraId="39BADC0A" w14:textId="3B4BFFE3" w:rsidR="005A5F4D" w:rsidRPr="00733EE9" w:rsidRDefault="005A5F4D" w:rsidP="005A5F4D">
      <w:pPr>
        <w:spacing w:after="120" w:line="288" w:lineRule="auto"/>
        <w:rPr>
          <w:rFonts w:ascii="Times New Roman" w:hAnsi="Times New Roman" w:cs="Times New Roman"/>
          <w:sz w:val="24"/>
          <w:szCs w:val="24"/>
        </w:rPr>
      </w:pPr>
      <w:r w:rsidRPr="00733EE9">
        <w:rPr>
          <w:rFonts w:ascii="Times New Roman" w:hAnsi="Times New Roman" w:cs="Times New Roman"/>
          <w:sz w:val="24"/>
          <w:szCs w:val="24"/>
        </w:rPr>
        <w:t xml:space="preserve">The combination of flexible CAB furnace technology and the vacuum/purge system </w:t>
      </w:r>
      <w:r w:rsidR="00733EE9" w:rsidRPr="00733EE9">
        <w:rPr>
          <w:rFonts w:ascii="Times New Roman" w:hAnsi="Times New Roman" w:cs="Times New Roman"/>
          <w:sz w:val="24"/>
          <w:szCs w:val="24"/>
        </w:rPr>
        <w:t>offer</w:t>
      </w:r>
      <w:r w:rsidRPr="00733EE9">
        <w:rPr>
          <w:rFonts w:ascii="Times New Roman" w:hAnsi="Times New Roman" w:cs="Times New Roman"/>
          <w:sz w:val="24"/>
          <w:szCs w:val="24"/>
        </w:rPr>
        <w:t>:</w:t>
      </w:r>
    </w:p>
    <w:p w14:paraId="5E5ECE92" w14:textId="77777777" w:rsidR="005A5F4D" w:rsidRPr="005A5F4D" w:rsidRDefault="005A5F4D" w:rsidP="005A5F4D">
      <w:pPr>
        <w:pStyle w:val="Listenabsatz"/>
        <w:numPr>
          <w:ilvl w:val="0"/>
          <w:numId w:val="2"/>
        </w:numPr>
        <w:spacing w:line="288" w:lineRule="auto"/>
        <w:ind w:left="714" w:hanging="357"/>
        <w:rPr>
          <w:rFonts w:ascii="Times New Roman" w:hAnsi="Times New Roman" w:cs="Times New Roman"/>
          <w:sz w:val="24"/>
          <w:szCs w:val="24"/>
        </w:rPr>
      </w:pPr>
      <w:r w:rsidRPr="005A5F4D">
        <w:rPr>
          <w:rFonts w:ascii="Times New Roman" w:hAnsi="Times New Roman" w:cs="Times New Roman"/>
          <w:sz w:val="24"/>
          <w:szCs w:val="24"/>
        </w:rPr>
        <w:t>The system allows flexible processing of different heat exchanger types, sizes, and weights.</w:t>
      </w:r>
    </w:p>
    <w:p w14:paraId="68B1251B" w14:textId="77777777" w:rsidR="005A5F4D" w:rsidRPr="005A5F4D" w:rsidRDefault="005A5F4D" w:rsidP="005A5F4D">
      <w:pPr>
        <w:pStyle w:val="Listenabsatz"/>
        <w:numPr>
          <w:ilvl w:val="0"/>
          <w:numId w:val="2"/>
        </w:numPr>
        <w:spacing w:line="288" w:lineRule="auto"/>
        <w:ind w:left="714" w:hanging="357"/>
        <w:rPr>
          <w:rFonts w:ascii="Times New Roman" w:hAnsi="Times New Roman" w:cs="Times New Roman"/>
          <w:sz w:val="24"/>
          <w:szCs w:val="24"/>
        </w:rPr>
      </w:pPr>
      <w:r w:rsidRPr="005A5F4D">
        <w:rPr>
          <w:rFonts w:ascii="Times New Roman" w:hAnsi="Times New Roman" w:cs="Times New Roman"/>
          <w:sz w:val="24"/>
          <w:szCs w:val="24"/>
        </w:rPr>
        <w:t>The furnace technology is fully suitable for XXL heat exchanger dimensions.</w:t>
      </w:r>
    </w:p>
    <w:p w14:paraId="0965E7B4" w14:textId="77777777" w:rsidR="005A5F4D" w:rsidRPr="005A5F4D" w:rsidRDefault="005A5F4D" w:rsidP="005A5F4D">
      <w:pPr>
        <w:pStyle w:val="Listenabsatz"/>
        <w:numPr>
          <w:ilvl w:val="0"/>
          <w:numId w:val="2"/>
        </w:numPr>
        <w:spacing w:line="288" w:lineRule="auto"/>
        <w:ind w:left="714" w:hanging="357"/>
        <w:rPr>
          <w:rFonts w:ascii="Times New Roman" w:hAnsi="Times New Roman" w:cs="Times New Roman"/>
          <w:sz w:val="24"/>
          <w:szCs w:val="24"/>
        </w:rPr>
      </w:pPr>
      <w:r w:rsidRPr="005A5F4D">
        <w:rPr>
          <w:rFonts w:ascii="Times New Roman" w:hAnsi="Times New Roman" w:cs="Times New Roman"/>
          <w:sz w:val="24"/>
          <w:szCs w:val="24"/>
        </w:rPr>
        <w:t>Both vertical and horizontal brazing can be performed in the same furnace.</w:t>
      </w:r>
    </w:p>
    <w:p w14:paraId="12006F1B" w14:textId="35B31715" w:rsidR="005A5F4D" w:rsidRPr="005A5F4D" w:rsidRDefault="005A5F4D" w:rsidP="005A5F4D">
      <w:pPr>
        <w:pStyle w:val="Listenabsatz"/>
        <w:numPr>
          <w:ilvl w:val="0"/>
          <w:numId w:val="2"/>
        </w:numPr>
        <w:spacing w:line="288" w:lineRule="auto"/>
        <w:ind w:left="714" w:hanging="357"/>
        <w:rPr>
          <w:rFonts w:ascii="Times New Roman" w:hAnsi="Times New Roman" w:cs="Times New Roman"/>
          <w:sz w:val="24"/>
          <w:szCs w:val="24"/>
        </w:rPr>
      </w:pPr>
      <w:r w:rsidRPr="005A5F4D">
        <w:rPr>
          <w:rFonts w:ascii="Times New Roman" w:hAnsi="Times New Roman" w:cs="Times New Roman"/>
          <w:sz w:val="24"/>
          <w:szCs w:val="24"/>
        </w:rPr>
        <w:t>Operators can easily switch between different heat exchanger core types.</w:t>
      </w:r>
    </w:p>
    <w:p w14:paraId="56FF4631" w14:textId="77777777" w:rsidR="005A5F4D" w:rsidRPr="005A5F4D" w:rsidRDefault="005A5F4D" w:rsidP="005A5F4D">
      <w:pPr>
        <w:pStyle w:val="Listenabsatz"/>
        <w:numPr>
          <w:ilvl w:val="0"/>
          <w:numId w:val="2"/>
        </w:numPr>
        <w:spacing w:line="288" w:lineRule="auto"/>
        <w:ind w:left="714" w:hanging="357"/>
        <w:rPr>
          <w:rFonts w:ascii="Times New Roman" w:hAnsi="Times New Roman" w:cs="Times New Roman"/>
          <w:sz w:val="24"/>
          <w:szCs w:val="24"/>
        </w:rPr>
      </w:pPr>
      <w:r w:rsidRPr="005A5F4D">
        <w:rPr>
          <w:rFonts w:ascii="Times New Roman" w:hAnsi="Times New Roman" w:cs="Times New Roman"/>
          <w:sz w:val="24"/>
          <w:szCs w:val="24"/>
        </w:rPr>
        <w:t>The technology is suitable for both development tasks and large-scale series production.</w:t>
      </w:r>
    </w:p>
    <w:p w14:paraId="71B772E9" w14:textId="77777777" w:rsidR="005A5F4D" w:rsidRPr="005A5F4D" w:rsidRDefault="005A5F4D" w:rsidP="005A5F4D">
      <w:pPr>
        <w:pStyle w:val="Listenabsatz"/>
        <w:numPr>
          <w:ilvl w:val="0"/>
          <w:numId w:val="2"/>
        </w:numPr>
        <w:spacing w:line="288" w:lineRule="auto"/>
        <w:ind w:left="714" w:hanging="357"/>
        <w:rPr>
          <w:rFonts w:ascii="Times New Roman" w:hAnsi="Times New Roman" w:cs="Times New Roman"/>
          <w:sz w:val="24"/>
          <w:szCs w:val="24"/>
        </w:rPr>
      </w:pPr>
      <w:r w:rsidRPr="005A5F4D">
        <w:rPr>
          <w:rFonts w:ascii="Times New Roman" w:hAnsi="Times New Roman" w:cs="Times New Roman"/>
          <w:sz w:val="24"/>
          <w:szCs w:val="24"/>
        </w:rPr>
        <w:t>Low energy consumption and short heat-up times ensure high efficiency.</w:t>
      </w:r>
    </w:p>
    <w:p w14:paraId="5A482B69" w14:textId="77777777" w:rsidR="005A5F4D" w:rsidRPr="005A5F4D" w:rsidRDefault="005A5F4D" w:rsidP="005A5F4D">
      <w:pPr>
        <w:pStyle w:val="Listenabsatz"/>
        <w:numPr>
          <w:ilvl w:val="0"/>
          <w:numId w:val="2"/>
        </w:numPr>
        <w:spacing w:line="288" w:lineRule="auto"/>
        <w:ind w:left="714" w:hanging="357"/>
        <w:rPr>
          <w:rFonts w:ascii="Times New Roman" w:hAnsi="Times New Roman" w:cs="Times New Roman"/>
          <w:sz w:val="24"/>
          <w:szCs w:val="24"/>
        </w:rPr>
      </w:pPr>
      <w:r w:rsidRPr="005A5F4D">
        <w:rPr>
          <w:rFonts w:ascii="Times New Roman" w:hAnsi="Times New Roman" w:cs="Times New Roman"/>
          <w:sz w:val="24"/>
          <w:szCs w:val="24"/>
        </w:rPr>
        <w:t>Temperature management features precise control with up to ten heating zones.</w:t>
      </w:r>
    </w:p>
    <w:p w14:paraId="713E232D" w14:textId="77777777" w:rsidR="005A5F4D" w:rsidRPr="005A5F4D" w:rsidRDefault="005A5F4D" w:rsidP="005A5F4D">
      <w:pPr>
        <w:pStyle w:val="Listenabsatz"/>
        <w:numPr>
          <w:ilvl w:val="0"/>
          <w:numId w:val="2"/>
        </w:numPr>
        <w:spacing w:line="288" w:lineRule="auto"/>
        <w:ind w:left="714" w:hanging="357"/>
        <w:rPr>
          <w:rFonts w:ascii="Times New Roman" w:hAnsi="Times New Roman" w:cs="Times New Roman"/>
          <w:sz w:val="24"/>
          <w:szCs w:val="24"/>
        </w:rPr>
      </w:pPr>
      <w:r w:rsidRPr="005A5F4D">
        <w:rPr>
          <w:rFonts w:ascii="Times New Roman" w:hAnsi="Times New Roman" w:cs="Times New Roman"/>
          <w:sz w:val="24"/>
          <w:szCs w:val="24"/>
        </w:rPr>
        <w:t>Controlled and repeatable brazing conditions ensure reproducible atmospheres.</w:t>
      </w:r>
    </w:p>
    <w:p w14:paraId="41E104E9" w14:textId="77777777" w:rsidR="005A5F4D" w:rsidRDefault="005A5F4D" w:rsidP="005A5F4D">
      <w:pPr>
        <w:pStyle w:val="Listenabsatz"/>
        <w:numPr>
          <w:ilvl w:val="0"/>
          <w:numId w:val="2"/>
        </w:numPr>
        <w:spacing w:line="288" w:lineRule="auto"/>
        <w:ind w:left="714" w:hanging="357"/>
        <w:rPr>
          <w:rFonts w:ascii="Times New Roman" w:hAnsi="Times New Roman" w:cs="Times New Roman"/>
          <w:sz w:val="24"/>
          <w:szCs w:val="24"/>
        </w:rPr>
      </w:pPr>
      <w:r w:rsidRPr="005A5F4D">
        <w:rPr>
          <w:rFonts w:ascii="Times New Roman" w:hAnsi="Times New Roman" w:cs="Times New Roman"/>
          <w:sz w:val="24"/>
          <w:szCs w:val="24"/>
        </w:rPr>
        <w:t>The vacuum/purge system effectively removes ambient air and reduces the oxygen content inside the heat exchanger.</w:t>
      </w:r>
    </w:p>
    <w:p w14:paraId="51C312DF" w14:textId="2702FE58" w:rsidR="00DA2B84" w:rsidRPr="005A5F4D" w:rsidRDefault="00DA2B84" w:rsidP="005A5F4D">
      <w:pPr>
        <w:pStyle w:val="Listenabsatz"/>
        <w:numPr>
          <w:ilvl w:val="0"/>
          <w:numId w:val="2"/>
        </w:numPr>
        <w:spacing w:line="288" w:lineRule="auto"/>
        <w:ind w:left="714" w:hanging="357"/>
        <w:rPr>
          <w:rFonts w:ascii="Times New Roman" w:hAnsi="Times New Roman" w:cs="Times New Roman"/>
          <w:sz w:val="24"/>
          <w:szCs w:val="24"/>
        </w:rPr>
      </w:pPr>
      <w:r>
        <w:rPr>
          <w:rFonts w:ascii="Times New Roman" w:hAnsi="Times New Roman" w:cs="Times New Roman"/>
          <w:sz w:val="24"/>
          <w:szCs w:val="24"/>
        </w:rPr>
        <w:t xml:space="preserve">Reduction of </w:t>
      </w:r>
      <w:r w:rsidR="00BD7D57">
        <w:rPr>
          <w:rFonts w:ascii="Times New Roman" w:hAnsi="Times New Roman" w:cs="Times New Roman"/>
          <w:sz w:val="24"/>
          <w:szCs w:val="24"/>
        </w:rPr>
        <w:t>flux consumption</w:t>
      </w:r>
    </w:p>
    <w:p w14:paraId="66A6C2BB" w14:textId="77D85926" w:rsidR="005A5F4D" w:rsidRPr="005A5F4D" w:rsidRDefault="005A5F4D" w:rsidP="005A5F4D">
      <w:pPr>
        <w:pStyle w:val="Listenabsatz"/>
        <w:numPr>
          <w:ilvl w:val="0"/>
          <w:numId w:val="2"/>
        </w:numPr>
        <w:spacing w:line="288" w:lineRule="auto"/>
        <w:ind w:left="714" w:hanging="357"/>
        <w:rPr>
          <w:rFonts w:ascii="Times New Roman" w:hAnsi="Times New Roman" w:cs="Times New Roman"/>
          <w:sz w:val="24"/>
          <w:szCs w:val="24"/>
        </w:rPr>
      </w:pPr>
      <w:r w:rsidRPr="005A5F4D">
        <w:rPr>
          <w:rFonts w:ascii="Times New Roman" w:hAnsi="Times New Roman" w:cs="Times New Roman"/>
          <w:sz w:val="24"/>
          <w:szCs w:val="24"/>
        </w:rPr>
        <w:t>Enhanced process reliability and repeatability significantly improve overall process safety.</w:t>
      </w:r>
    </w:p>
    <w:p w14:paraId="01EEE872" w14:textId="77777777" w:rsidR="005A5F4D" w:rsidRDefault="005A5F4D" w:rsidP="005A5F4D">
      <w:pPr>
        <w:rPr>
          <w:rFonts w:ascii="Times New Roman" w:hAnsi="Times New Roman" w:cs="Times New Roman"/>
          <w:sz w:val="24"/>
          <w:szCs w:val="24"/>
        </w:rPr>
      </w:pPr>
    </w:p>
    <w:p w14:paraId="16408941" w14:textId="43EF2602" w:rsidR="005A5F4D" w:rsidRPr="00733EE9" w:rsidRDefault="005A5F4D" w:rsidP="005A5F4D">
      <w:pPr>
        <w:spacing w:after="120" w:line="288" w:lineRule="auto"/>
        <w:rPr>
          <w:rFonts w:ascii="Times New Roman" w:hAnsi="Times New Roman" w:cs="Times New Roman"/>
          <w:sz w:val="24"/>
          <w:szCs w:val="24"/>
        </w:rPr>
      </w:pPr>
      <w:r w:rsidRPr="00733EE9">
        <w:rPr>
          <w:rFonts w:ascii="Times New Roman" w:hAnsi="Times New Roman" w:cs="Times New Roman"/>
          <w:sz w:val="24"/>
          <w:szCs w:val="24"/>
        </w:rPr>
        <w:t xml:space="preserve">With the two additional furnace lines for Brazil and China, </w:t>
      </w:r>
      <w:r w:rsidR="00DA2B84">
        <w:rPr>
          <w:rFonts w:ascii="Times New Roman" w:hAnsi="Times New Roman" w:cs="Times New Roman"/>
          <w:sz w:val="24"/>
          <w:szCs w:val="24"/>
        </w:rPr>
        <w:t>SELLACAN</w:t>
      </w:r>
      <w:r w:rsidRPr="00733EE9">
        <w:rPr>
          <w:rFonts w:ascii="Times New Roman" w:hAnsi="Times New Roman" w:cs="Times New Roman"/>
          <w:sz w:val="24"/>
          <w:szCs w:val="24"/>
        </w:rPr>
        <w:t xml:space="preserve"> continues to support AKG's international production capacities for aluminum heat exchangers, complementing the systems already in use in Mexico, India, and Germany</w:t>
      </w:r>
    </w:p>
    <w:p w14:paraId="0B337FDC" w14:textId="77777777" w:rsidR="004939ED" w:rsidRPr="005A5F4D" w:rsidRDefault="004939ED" w:rsidP="004939ED">
      <w:pPr>
        <w:spacing w:after="120" w:line="288" w:lineRule="auto"/>
        <w:rPr>
          <w:sz w:val="24"/>
          <w:szCs w:val="24"/>
        </w:rPr>
      </w:pPr>
    </w:p>
    <w:sectPr w:rsidR="004939ED" w:rsidRPr="005A5F4D" w:rsidSect="004939ED">
      <w:headerReference w:type="even" r:id="rId7"/>
      <w:headerReference w:type="default" r:id="rId8"/>
      <w:footerReference w:type="default" r:id="rId9"/>
      <w:headerReference w:type="firs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B8C7D" w14:textId="77777777" w:rsidR="008C63AD" w:rsidRDefault="008C63AD" w:rsidP="003177DF">
      <w:r>
        <w:separator/>
      </w:r>
    </w:p>
  </w:endnote>
  <w:endnote w:type="continuationSeparator" w:id="0">
    <w:p w14:paraId="182FFFC1" w14:textId="77777777" w:rsidR="008C63AD" w:rsidRDefault="008C63AD" w:rsidP="003177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CE492" w14:textId="24CD43ED" w:rsidR="00DA2B84" w:rsidRPr="00DA2B84" w:rsidRDefault="00DA2B84" w:rsidP="00DA2B84">
    <w:pPr>
      <w:pStyle w:val="Fuzeile"/>
      <w:spacing w:before="240"/>
      <w:jc w:val="center"/>
      <w:rPr>
        <w:rFonts w:ascii="Times New Roman" w:hAnsi="Times New Roman" w:cs="Times New Roman"/>
      </w:rPr>
    </w:pPr>
    <w:r w:rsidRPr="00DA2B84">
      <w:rPr>
        <w:rFonts w:ascii="Times New Roman" w:hAnsi="Times New Roman" w:cs="Times New Roman"/>
      </w:rPr>
      <w:t>www.sellacan.de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4F273" w14:textId="77777777" w:rsidR="008C63AD" w:rsidRDefault="008C63AD" w:rsidP="003177DF">
      <w:r>
        <w:separator/>
      </w:r>
    </w:p>
  </w:footnote>
  <w:footnote w:type="continuationSeparator" w:id="0">
    <w:p w14:paraId="0C3E34B2" w14:textId="77777777" w:rsidR="008C63AD" w:rsidRDefault="008C63AD" w:rsidP="003177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9EB45" w14:textId="5DF56E6C" w:rsidR="003177DF" w:rsidRDefault="003177D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BA907" w14:textId="2B9A1B66" w:rsidR="003177DF" w:rsidRPr="00BD7D57" w:rsidRDefault="00DA2B84">
    <w:pPr>
      <w:pStyle w:val="Kopfzeile"/>
      <w:rPr>
        <w:rFonts w:ascii="Times New Roman" w:hAnsi="Times New Roman" w:cs="Times New Roman"/>
        <w:sz w:val="26"/>
        <w:szCs w:val="26"/>
      </w:rPr>
    </w:pPr>
    <w:r>
      <w:rPr>
        <w:noProof/>
      </w:rPr>
      <w:drawing>
        <wp:anchor distT="0" distB="0" distL="114300" distR="114300" simplePos="0" relativeHeight="251664384" behindDoc="0" locked="0" layoutInCell="1" allowOverlap="1" wp14:anchorId="60DFE8DF" wp14:editId="41FEC3A9">
          <wp:simplePos x="0" y="0"/>
          <wp:positionH relativeFrom="column">
            <wp:posOffset>4742787</wp:posOffset>
          </wp:positionH>
          <wp:positionV relativeFrom="paragraph">
            <wp:posOffset>-76338</wp:posOffset>
          </wp:positionV>
          <wp:extent cx="1875128" cy="660577"/>
          <wp:effectExtent l="0" t="0" r="0" b="6350"/>
          <wp:wrapNone/>
          <wp:docPr id="198848465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5128" cy="660577"/>
                  </a:xfrm>
                  <a:prstGeom prst="rect">
                    <a:avLst/>
                  </a:prstGeom>
                  <a:noFill/>
                  <a:ln>
                    <a:noFill/>
                  </a:ln>
                </pic:spPr>
              </pic:pic>
            </a:graphicData>
          </a:graphic>
        </wp:anchor>
      </w:drawing>
    </w:r>
    <w:r w:rsidR="00BD7D57">
      <w:rPr>
        <w:rFonts w:ascii="Times New Roman" w:hAnsi="Times New Roman" w:cs="Times New Roman"/>
        <w:sz w:val="26"/>
        <w:szCs w:val="26"/>
      </w:rPr>
      <w:t>Press Release - issued September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40E82" w14:textId="786F3948" w:rsidR="003177DF" w:rsidRDefault="003177D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5078C4"/>
    <w:multiLevelType w:val="hybridMultilevel"/>
    <w:tmpl w:val="7896AD8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3FC0809"/>
    <w:multiLevelType w:val="multilevel"/>
    <w:tmpl w:val="E8CC9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5613670">
    <w:abstractNumId w:val="1"/>
  </w:num>
  <w:num w:numId="2" w16cid:durableId="1515345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9ED"/>
    <w:rsid w:val="000A1E14"/>
    <w:rsid w:val="001409F3"/>
    <w:rsid w:val="003177DF"/>
    <w:rsid w:val="00376B58"/>
    <w:rsid w:val="003A4B59"/>
    <w:rsid w:val="004149CD"/>
    <w:rsid w:val="0046343E"/>
    <w:rsid w:val="004939ED"/>
    <w:rsid w:val="004B5237"/>
    <w:rsid w:val="004B564E"/>
    <w:rsid w:val="00523AE4"/>
    <w:rsid w:val="005A5F4D"/>
    <w:rsid w:val="006105CC"/>
    <w:rsid w:val="00733EE9"/>
    <w:rsid w:val="00847C05"/>
    <w:rsid w:val="0089108C"/>
    <w:rsid w:val="008C63AD"/>
    <w:rsid w:val="00A35D86"/>
    <w:rsid w:val="00A77D0A"/>
    <w:rsid w:val="00B52006"/>
    <w:rsid w:val="00B669DE"/>
    <w:rsid w:val="00BA4960"/>
    <w:rsid w:val="00BD7D57"/>
    <w:rsid w:val="00C1277B"/>
    <w:rsid w:val="00D71D43"/>
    <w:rsid w:val="00DA2B84"/>
    <w:rsid w:val="00E44748"/>
    <w:rsid w:val="00F97C9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B52AC2"/>
  <w15:chartTrackingRefBased/>
  <w15:docId w15:val="{AF229DB7-3A47-49FE-BB23-372D702BF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en-GB"/>
    </w:rPr>
  </w:style>
  <w:style w:type="paragraph" w:styleId="berschrift1">
    <w:name w:val="heading 1"/>
    <w:basedOn w:val="Standard"/>
    <w:next w:val="Standard"/>
    <w:link w:val="berschrift1Zchn"/>
    <w:uiPriority w:val="9"/>
    <w:qFormat/>
    <w:rsid w:val="004939E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4939E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4939ED"/>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4939ED"/>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4939ED"/>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4939ED"/>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939ED"/>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939ED"/>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939ED"/>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939ED"/>
    <w:rPr>
      <w:rFonts w:asciiTheme="majorHAnsi" w:eastAsiaTheme="majorEastAsia" w:hAnsiTheme="majorHAnsi" w:cstheme="majorBidi"/>
      <w:color w:val="2E74B5" w:themeColor="accent1" w:themeShade="BF"/>
      <w:sz w:val="40"/>
      <w:szCs w:val="40"/>
      <w:lang w:val="en-GB"/>
    </w:rPr>
  </w:style>
  <w:style w:type="character" w:customStyle="1" w:styleId="berschrift2Zchn">
    <w:name w:val="Überschrift 2 Zchn"/>
    <w:basedOn w:val="Absatz-Standardschriftart"/>
    <w:link w:val="berschrift2"/>
    <w:uiPriority w:val="9"/>
    <w:semiHidden/>
    <w:rsid w:val="004939ED"/>
    <w:rPr>
      <w:rFonts w:asciiTheme="majorHAnsi" w:eastAsiaTheme="majorEastAsia" w:hAnsiTheme="majorHAnsi" w:cstheme="majorBidi"/>
      <w:color w:val="2E74B5" w:themeColor="accent1" w:themeShade="BF"/>
      <w:sz w:val="32"/>
      <w:szCs w:val="32"/>
      <w:lang w:val="en-GB"/>
    </w:rPr>
  </w:style>
  <w:style w:type="character" w:customStyle="1" w:styleId="berschrift3Zchn">
    <w:name w:val="Überschrift 3 Zchn"/>
    <w:basedOn w:val="Absatz-Standardschriftart"/>
    <w:link w:val="berschrift3"/>
    <w:uiPriority w:val="9"/>
    <w:semiHidden/>
    <w:rsid w:val="004939ED"/>
    <w:rPr>
      <w:rFonts w:eastAsiaTheme="majorEastAsia" w:cstheme="majorBidi"/>
      <w:color w:val="2E74B5" w:themeColor="accent1" w:themeShade="BF"/>
      <w:sz w:val="28"/>
      <w:szCs w:val="28"/>
      <w:lang w:val="en-GB"/>
    </w:rPr>
  </w:style>
  <w:style w:type="character" w:customStyle="1" w:styleId="berschrift4Zchn">
    <w:name w:val="Überschrift 4 Zchn"/>
    <w:basedOn w:val="Absatz-Standardschriftart"/>
    <w:link w:val="berschrift4"/>
    <w:uiPriority w:val="9"/>
    <w:semiHidden/>
    <w:rsid w:val="004939ED"/>
    <w:rPr>
      <w:rFonts w:eastAsiaTheme="majorEastAsia" w:cstheme="majorBidi"/>
      <w:i/>
      <w:iCs/>
      <w:color w:val="2E74B5" w:themeColor="accent1" w:themeShade="BF"/>
      <w:lang w:val="en-GB"/>
    </w:rPr>
  </w:style>
  <w:style w:type="character" w:customStyle="1" w:styleId="berschrift5Zchn">
    <w:name w:val="Überschrift 5 Zchn"/>
    <w:basedOn w:val="Absatz-Standardschriftart"/>
    <w:link w:val="berschrift5"/>
    <w:uiPriority w:val="9"/>
    <w:semiHidden/>
    <w:rsid w:val="004939ED"/>
    <w:rPr>
      <w:rFonts w:eastAsiaTheme="majorEastAsia" w:cstheme="majorBidi"/>
      <w:color w:val="2E74B5" w:themeColor="accent1" w:themeShade="BF"/>
      <w:lang w:val="en-GB"/>
    </w:rPr>
  </w:style>
  <w:style w:type="character" w:customStyle="1" w:styleId="berschrift6Zchn">
    <w:name w:val="Überschrift 6 Zchn"/>
    <w:basedOn w:val="Absatz-Standardschriftart"/>
    <w:link w:val="berschrift6"/>
    <w:uiPriority w:val="9"/>
    <w:semiHidden/>
    <w:rsid w:val="004939ED"/>
    <w:rPr>
      <w:rFonts w:eastAsiaTheme="majorEastAsia" w:cstheme="majorBidi"/>
      <w:i/>
      <w:iCs/>
      <w:color w:val="595959" w:themeColor="text1" w:themeTint="A6"/>
      <w:lang w:val="en-GB"/>
    </w:rPr>
  </w:style>
  <w:style w:type="character" w:customStyle="1" w:styleId="berschrift7Zchn">
    <w:name w:val="Überschrift 7 Zchn"/>
    <w:basedOn w:val="Absatz-Standardschriftart"/>
    <w:link w:val="berschrift7"/>
    <w:uiPriority w:val="9"/>
    <w:semiHidden/>
    <w:rsid w:val="004939ED"/>
    <w:rPr>
      <w:rFonts w:eastAsiaTheme="majorEastAsia" w:cstheme="majorBidi"/>
      <w:color w:val="595959" w:themeColor="text1" w:themeTint="A6"/>
      <w:lang w:val="en-GB"/>
    </w:rPr>
  </w:style>
  <w:style w:type="character" w:customStyle="1" w:styleId="berschrift8Zchn">
    <w:name w:val="Überschrift 8 Zchn"/>
    <w:basedOn w:val="Absatz-Standardschriftart"/>
    <w:link w:val="berschrift8"/>
    <w:uiPriority w:val="9"/>
    <w:semiHidden/>
    <w:rsid w:val="004939ED"/>
    <w:rPr>
      <w:rFonts w:eastAsiaTheme="majorEastAsia" w:cstheme="majorBidi"/>
      <w:i/>
      <w:iCs/>
      <w:color w:val="272727" w:themeColor="text1" w:themeTint="D8"/>
      <w:lang w:val="en-GB"/>
    </w:rPr>
  </w:style>
  <w:style w:type="character" w:customStyle="1" w:styleId="berschrift9Zchn">
    <w:name w:val="Überschrift 9 Zchn"/>
    <w:basedOn w:val="Absatz-Standardschriftart"/>
    <w:link w:val="berschrift9"/>
    <w:uiPriority w:val="9"/>
    <w:semiHidden/>
    <w:rsid w:val="004939ED"/>
    <w:rPr>
      <w:rFonts w:eastAsiaTheme="majorEastAsia" w:cstheme="majorBidi"/>
      <w:color w:val="272727" w:themeColor="text1" w:themeTint="D8"/>
      <w:lang w:val="en-GB"/>
    </w:rPr>
  </w:style>
  <w:style w:type="paragraph" w:styleId="Titel">
    <w:name w:val="Title"/>
    <w:basedOn w:val="Standard"/>
    <w:next w:val="Standard"/>
    <w:link w:val="TitelZchn"/>
    <w:uiPriority w:val="10"/>
    <w:qFormat/>
    <w:rsid w:val="004939ED"/>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939ED"/>
    <w:rPr>
      <w:rFonts w:asciiTheme="majorHAnsi" w:eastAsiaTheme="majorEastAsia" w:hAnsiTheme="majorHAnsi" w:cstheme="majorBidi"/>
      <w:spacing w:val="-10"/>
      <w:kern w:val="28"/>
      <w:sz w:val="56"/>
      <w:szCs w:val="56"/>
      <w:lang w:val="en-GB"/>
    </w:rPr>
  </w:style>
  <w:style w:type="paragraph" w:styleId="Untertitel">
    <w:name w:val="Subtitle"/>
    <w:basedOn w:val="Standard"/>
    <w:next w:val="Standard"/>
    <w:link w:val="UntertitelZchn"/>
    <w:uiPriority w:val="11"/>
    <w:qFormat/>
    <w:rsid w:val="004939ED"/>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939ED"/>
    <w:rPr>
      <w:rFonts w:eastAsiaTheme="majorEastAsia" w:cstheme="majorBidi"/>
      <w:color w:val="595959" w:themeColor="text1" w:themeTint="A6"/>
      <w:spacing w:val="15"/>
      <w:sz w:val="28"/>
      <w:szCs w:val="28"/>
      <w:lang w:val="en-GB"/>
    </w:rPr>
  </w:style>
  <w:style w:type="paragraph" w:styleId="Zitat">
    <w:name w:val="Quote"/>
    <w:basedOn w:val="Standard"/>
    <w:next w:val="Standard"/>
    <w:link w:val="ZitatZchn"/>
    <w:uiPriority w:val="29"/>
    <w:qFormat/>
    <w:rsid w:val="004939ED"/>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4939ED"/>
    <w:rPr>
      <w:i/>
      <w:iCs/>
      <w:color w:val="404040" w:themeColor="text1" w:themeTint="BF"/>
      <w:lang w:val="en-GB"/>
    </w:rPr>
  </w:style>
  <w:style w:type="paragraph" w:styleId="Listenabsatz">
    <w:name w:val="List Paragraph"/>
    <w:basedOn w:val="Standard"/>
    <w:uiPriority w:val="34"/>
    <w:qFormat/>
    <w:rsid w:val="004939ED"/>
    <w:pPr>
      <w:ind w:left="720"/>
      <w:contextualSpacing/>
    </w:pPr>
  </w:style>
  <w:style w:type="character" w:styleId="IntensiveHervorhebung">
    <w:name w:val="Intense Emphasis"/>
    <w:basedOn w:val="Absatz-Standardschriftart"/>
    <w:uiPriority w:val="21"/>
    <w:qFormat/>
    <w:rsid w:val="004939ED"/>
    <w:rPr>
      <w:i/>
      <w:iCs/>
      <w:color w:val="2E74B5" w:themeColor="accent1" w:themeShade="BF"/>
    </w:rPr>
  </w:style>
  <w:style w:type="paragraph" w:styleId="IntensivesZitat">
    <w:name w:val="Intense Quote"/>
    <w:basedOn w:val="Standard"/>
    <w:next w:val="Standard"/>
    <w:link w:val="IntensivesZitatZchn"/>
    <w:uiPriority w:val="30"/>
    <w:qFormat/>
    <w:rsid w:val="004939E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4939ED"/>
    <w:rPr>
      <w:i/>
      <w:iCs/>
      <w:color w:val="2E74B5" w:themeColor="accent1" w:themeShade="BF"/>
      <w:lang w:val="en-GB"/>
    </w:rPr>
  </w:style>
  <w:style w:type="character" w:styleId="IntensiverVerweis">
    <w:name w:val="Intense Reference"/>
    <w:basedOn w:val="Absatz-Standardschriftart"/>
    <w:uiPriority w:val="32"/>
    <w:qFormat/>
    <w:rsid w:val="004939ED"/>
    <w:rPr>
      <w:b/>
      <w:bCs/>
      <w:smallCaps/>
      <w:color w:val="2E74B5" w:themeColor="accent1" w:themeShade="BF"/>
      <w:spacing w:val="5"/>
    </w:rPr>
  </w:style>
  <w:style w:type="paragraph" w:styleId="Kopfzeile">
    <w:name w:val="header"/>
    <w:basedOn w:val="Standard"/>
    <w:link w:val="KopfzeileZchn"/>
    <w:uiPriority w:val="99"/>
    <w:unhideWhenUsed/>
    <w:rsid w:val="003177DF"/>
    <w:pPr>
      <w:tabs>
        <w:tab w:val="center" w:pos="4536"/>
        <w:tab w:val="right" w:pos="9072"/>
      </w:tabs>
    </w:pPr>
  </w:style>
  <w:style w:type="character" w:customStyle="1" w:styleId="KopfzeileZchn">
    <w:name w:val="Kopfzeile Zchn"/>
    <w:basedOn w:val="Absatz-Standardschriftart"/>
    <w:link w:val="Kopfzeile"/>
    <w:uiPriority w:val="99"/>
    <w:rsid w:val="003177DF"/>
    <w:rPr>
      <w:lang w:val="en-GB"/>
    </w:rPr>
  </w:style>
  <w:style w:type="paragraph" w:styleId="Fuzeile">
    <w:name w:val="footer"/>
    <w:basedOn w:val="Standard"/>
    <w:link w:val="FuzeileZchn"/>
    <w:uiPriority w:val="99"/>
    <w:unhideWhenUsed/>
    <w:rsid w:val="003177DF"/>
    <w:pPr>
      <w:tabs>
        <w:tab w:val="center" w:pos="4536"/>
        <w:tab w:val="right" w:pos="9072"/>
      </w:tabs>
    </w:pPr>
  </w:style>
  <w:style w:type="character" w:customStyle="1" w:styleId="FuzeileZchn">
    <w:name w:val="Fußzeile Zchn"/>
    <w:basedOn w:val="Absatz-Standardschriftart"/>
    <w:link w:val="Fuzeile"/>
    <w:uiPriority w:val="99"/>
    <w:rsid w:val="003177DF"/>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657</Words>
  <Characters>4142</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Neumann | Sellacan</dc:creator>
  <cp:keywords/>
  <dc:description/>
  <cp:lastModifiedBy>Marianne Neumann | Sellacan</cp:lastModifiedBy>
  <cp:revision>2</cp:revision>
  <cp:lastPrinted>2026-09-18T10:31:00Z</cp:lastPrinted>
  <dcterms:created xsi:type="dcterms:W3CDTF">2026-09-22T07:34:00Z</dcterms:created>
  <dcterms:modified xsi:type="dcterms:W3CDTF">2026-09-22T07:34:00Z</dcterms:modified>
</cp:coreProperties>
</file>