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13E3C" w14:textId="77777777" w:rsidR="00A0362F" w:rsidRDefault="00A0362F" w:rsidP="00A0362F">
      <w:pPr>
        <w:pStyle w:val="NoSpacing"/>
      </w:pPr>
      <w:r>
        <w:t>PRESS RELEASE</w:t>
      </w:r>
    </w:p>
    <w:p w14:paraId="257D4C54" w14:textId="77777777" w:rsidR="00A0362F" w:rsidRDefault="00A0362F" w:rsidP="00A0362F">
      <w:pPr>
        <w:pStyle w:val="NoSpacing"/>
      </w:pPr>
      <w:r>
        <w:t>FOR IMMEDIATE RELEASE</w:t>
      </w:r>
    </w:p>
    <w:p w14:paraId="5D77DC1C" w14:textId="65F5FFDB" w:rsidR="00A0362F" w:rsidRDefault="00A0362F" w:rsidP="00A0362F">
      <w:pPr>
        <w:pStyle w:val="NoSpacing"/>
      </w:pPr>
      <w:r>
        <w:t>Contact: Scott Cumming</w:t>
      </w:r>
      <w:r>
        <w:br/>
        <w:t xml:space="preserve">Can-Eng Furnaces International Ltd. </w:t>
      </w:r>
      <w:r>
        <w:br/>
      </w:r>
      <w:r w:rsidR="003C12FA">
        <w:t>Main</w:t>
      </w:r>
      <w:r>
        <w:t xml:space="preserve"> line:</w:t>
      </w:r>
      <w:r w:rsidR="003C12FA" w:rsidRPr="003C12FA">
        <w:rPr>
          <w:rFonts w:ascii="Arial" w:eastAsiaTheme="minorHAnsi" w:hAnsi="Arial" w:cs="Arial"/>
          <w:b/>
          <w:bCs/>
          <w:color w:val="1F4B8D"/>
          <w:sz w:val="18"/>
          <w:szCs w:val="18"/>
          <w:shd w:val="clear" w:color="auto" w:fill="EFEFEF"/>
          <w:lang w:val="en-CA"/>
        </w:rPr>
        <w:t xml:space="preserve"> </w:t>
      </w:r>
      <w:r w:rsidR="003C12FA" w:rsidRPr="003C12FA">
        <w:rPr>
          <w:lang w:val="en-CA"/>
        </w:rPr>
        <w:t>905-356-1327</w:t>
      </w:r>
      <w:r>
        <w:br/>
      </w:r>
      <w:hyperlink r:id="rId10" w:history="1">
        <w:r>
          <w:rPr>
            <w:rStyle w:val="Hyperlink"/>
          </w:rPr>
          <w:t>scumming@can-eng.com</w:t>
        </w:r>
      </w:hyperlink>
    </w:p>
    <w:p w14:paraId="5A4408F2" w14:textId="77777777" w:rsidR="00A0362F" w:rsidRDefault="00A0362F" w:rsidP="00A0362F">
      <w:pPr>
        <w:pStyle w:val="NoSpacing"/>
      </w:pPr>
      <w:r>
        <w:t>www.can-eng.com</w:t>
      </w:r>
    </w:p>
    <w:p w14:paraId="00EA0438" w14:textId="52617A71" w:rsidR="00A17578" w:rsidRPr="00A17578" w:rsidRDefault="00A17578" w:rsidP="00A17578">
      <w:pPr>
        <w:pStyle w:val="NormalWeb"/>
        <w:shd w:val="clear" w:color="auto" w:fill="FFFFFF"/>
        <w:spacing w:after="0"/>
        <w:textAlignment w:val="baseline"/>
        <w:rPr>
          <w:rFonts w:ascii="PT Sans" w:hAnsi="PT Sans"/>
          <w:color w:val="131313"/>
          <w:sz w:val="23"/>
          <w:szCs w:val="23"/>
        </w:rPr>
      </w:pPr>
      <w:r w:rsidRPr="00A17578">
        <w:rPr>
          <w:rFonts w:ascii="PT Sans" w:hAnsi="PT Sans"/>
          <w:color w:val="131313"/>
          <w:sz w:val="23"/>
          <w:szCs w:val="23"/>
        </w:rPr>
        <w:t>Can-Eng Furnaces International Ltd. has been awarded a contract to design and supply a high-temperature plate processing austenitizing furnace system to produce critical wear components used in ground engaging equipment.</w:t>
      </w:r>
    </w:p>
    <w:p w14:paraId="0D2CFABD" w14:textId="6A470D7D" w:rsidR="00A17578" w:rsidRPr="00A17578" w:rsidRDefault="00A17578" w:rsidP="00A17578">
      <w:pPr>
        <w:pStyle w:val="NormalWeb"/>
        <w:shd w:val="clear" w:color="auto" w:fill="FFFFFF"/>
        <w:spacing w:after="0"/>
        <w:textAlignment w:val="baseline"/>
        <w:rPr>
          <w:rFonts w:ascii="PT Sans" w:hAnsi="PT Sans"/>
          <w:color w:val="131313"/>
          <w:sz w:val="23"/>
          <w:szCs w:val="23"/>
        </w:rPr>
      </w:pPr>
      <w:r w:rsidRPr="00A17578">
        <w:rPr>
          <w:rFonts w:ascii="PT Sans" w:hAnsi="PT Sans"/>
          <w:color w:val="131313"/>
          <w:sz w:val="23"/>
          <w:szCs w:val="23"/>
        </w:rPr>
        <w:t>The new furnace system has been engineered to provide precise temperature uniformity, consistent metallurgical performance, and high production throughput to meet the demanding requirements of heavy-duty wear components operating in some of the world's most severe service environments.</w:t>
      </w:r>
    </w:p>
    <w:p w14:paraId="2575B928" w14:textId="4601E6FD" w:rsidR="00A17578" w:rsidRPr="00A17578" w:rsidRDefault="00A17578" w:rsidP="00A17578">
      <w:pPr>
        <w:pStyle w:val="NormalWeb"/>
        <w:shd w:val="clear" w:color="auto" w:fill="FFFFFF"/>
        <w:spacing w:after="0"/>
        <w:textAlignment w:val="baseline"/>
        <w:rPr>
          <w:rFonts w:ascii="PT Sans" w:hAnsi="PT Sans"/>
          <w:color w:val="131313"/>
          <w:sz w:val="23"/>
          <w:szCs w:val="23"/>
        </w:rPr>
      </w:pPr>
      <w:r w:rsidRPr="00A17578">
        <w:rPr>
          <w:rFonts w:ascii="PT Sans" w:hAnsi="PT Sans"/>
          <w:color w:val="131313"/>
          <w:sz w:val="23"/>
          <w:szCs w:val="23"/>
        </w:rPr>
        <w:t>The furnace utilizes a unique air-cooled Walking Beam design which allows for the recovery of waste heat to be used as part of the building</w:t>
      </w:r>
      <w:r w:rsidR="005148AA">
        <w:rPr>
          <w:rFonts w:ascii="PT Sans" w:hAnsi="PT Sans"/>
          <w:color w:val="131313"/>
          <w:sz w:val="23"/>
          <w:szCs w:val="23"/>
        </w:rPr>
        <w:t>’s</w:t>
      </w:r>
      <w:r w:rsidRPr="00A17578">
        <w:rPr>
          <w:rFonts w:ascii="PT Sans" w:hAnsi="PT Sans"/>
          <w:color w:val="131313"/>
          <w:sz w:val="23"/>
          <w:szCs w:val="23"/>
        </w:rPr>
        <w:t xml:space="preserve"> heating system. Engineered to accommodate plates up to 8 feet (2.44 metres) wide, the Walking Beam configuration minimizes product distortion while providing reliable material handling throughout the heat treatment cycle, making it well suited for processing large, heavy plate components.</w:t>
      </w:r>
    </w:p>
    <w:p w14:paraId="146A7541" w14:textId="4CF63627" w:rsidR="00A17578" w:rsidRPr="00A17578" w:rsidRDefault="00A17578" w:rsidP="00A17578">
      <w:pPr>
        <w:pStyle w:val="NormalWeb"/>
        <w:shd w:val="clear" w:color="auto" w:fill="FFFFFF"/>
        <w:spacing w:after="0"/>
        <w:textAlignment w:val="baseline"/>
        <w:rPr>
          <w:rFonts w:ascii="PT Sans" w:hAnsi="PT Sans"/>
          <w:color w:val="131313"/>
          <w:sz w:val="23"/>
          <w:szCs w:val="23"/>
        </w:rPr>
      </w:pPr>
      <w:r w:rsidRPr="00A17578">
        <w:rPr>
          <w:rFonts w:ascii="PT Sans" w:hAnsi="PT Sans"/>
          <w:color w:val="131313"/>
          <w:sz w:val="23"/>
          <w:szCs w:val="23"/>
        </w:rPr>
        <w:t>Thermal input is supplied through direct-fired auto-recuperative burners, providing efficient heat transfer while reducing fuel consumption. Furnace combustion, process control, and walking beam motion are integrated through a Siemens S7-1500F programmable logic controller (PLC).</w:t>
      </w:r>
    </w:p>
    <w:p w14:paraId="33D6F562" w14:textId="77777777" w:rsidR="00A17578" w:rsidRDefault="00A17578" w:rsidP="00A17578">
      <w:pPr>
        <w:pStyle w:val="NormalWeb"/>
        <w:shd w:val="clear" w:color="auto" w:fill="FFFFFF"/>
        <w:spacing w:before="0" w:beforeAutospacing="0" w:after="0" w:afterAutospacing="0"/>
        <w:textAlignment w:val="baseline"/>
        <w:rPr>
          <w:rFonts w:ascii="PT Sans" w:hAnsi="PT Sans"/>
          <w:color w:val="131313"/>
          <w:sz w:val="23"/>
          <w:szCs w:val="23"/>
        </w:rPr>
      </w:pPr>
      <w:r w:rsidRPr="00A17578">
        <w:rPr>
          <w:rFonts w:ascii="PT Sans" w:hAnsi="PT Sans"/>
          <w:color w:val="131313"/>
          <w:sz w:val="23"/>
          <w:szCs w:val="23"/>
        </w:rPr>
        <w:t>The project builds on Can-Eng's more than 60 years of experience designing and manufacturing Walking Beam furnace systems for customers around the world. This experience enables the company to deliver thermal processing solutions tailored to demanding applications requiring consistent metallurgical performance and long-term operating reliability.</w:t>
      </w:r>
    </w:p>
    <w:p w14:paraId="3AE570B1" w14:textId="77777777" w:rsidR="00A17578" w:rsidRDefault="00A17578" w:rsidP="00A17578">
      <w:pPr>
        <w:pStyle w:val="NormalWeb"/>
        <w:shd w:val="clear" w:color="auto" w:fill="FFFFFF"/>
        <w:spacing w:before="0" w:beforeAutospacing="0" w:after="0" w:afterAutospacing="0"/>
        <w:textAlignment w:val="baseline"/>
        <w:rPr>
          <w:rFonts w:ascii="PT Sans" w:hAnsi="PT Sans"/>
          <w:color w:val="131313"/>
          <w:sz w:val="23"/>
          <w:szCs w:val="23"/>
        </w:rPr>
      </w:pPr>
    </w:p>
    <w:p w14:paraId="7F4465D5" w14:textId="35496FF6" w:rsidR="00393CC3" w:rsidRDefault="00A772F8" w:rsidP="00A17578">
      <w:pPr>
        <w:pStyle w:val="NormalWeb"/>
        <w:shd w:val="clear" w:color="auto" w:fill="FFFFFF"/>
        <w:spacing w:before="0" w:beforeAutospacing="0" w:after="0" w:afterAutospacing="0"/>
        <w:textAlignment w:val="baseline"/>
        <w:rPr>
          <w:rFonts w:ascii="PT Sans" w:hAnsi="PT Sans"/>
          <w:color w:val="131313"/>
          <w:sz w:val="23"/>
          <w:szCs w:val="23"/>
        </w:rPr>
      </w:pPr>
      <w:r>
        <w:rPr>
          <w:rFonts w:ascii="PT Sans" w:hAnsi="PT Sans"/>
          <w:color w:val="131313"/>
          <w:sz w:val="23"/>
          <w:szCs w:val="23"/>
        </w:rPr>
        <w:t>Can-Eng Furnaces International is a global provider and leader of state-of-the-art thermal processing systems. Headquartered in Niagara Falls, ON, Canada, Can-Eng is an ISO 9001:2015 certified company. For further information please contact Can-Eng at </w:t>
      </w:r>
      <w:hyperlink r:id="rId11" w:history="1">
        <w:r>
          <w:rPr>
            <w:rStyle w:val="Hyperlink"/>
            <w:rFonts w:ascii="PT Sans" w:hAnsi="PT Sans"/>
            <w:sz w:val="23"/>
            <w:szCs w:val="23"/>
            <w:bdr w:val="none" w:sz="0" w:space="0" w:color="auto" w:frame="1"/>
          </w:rPr>
          <w:t>scumming@can-eng.com</w:t>
        </w:r>
      </w:hyperlink>
      <w:r>
        <w:rPr>
          <w:rFonts w:ascii="PT Sans" w:hAnsi="PT Sans"/>
          <w:color w:val="131313"/>
          <w:sz w:val="23"/>
          <w:szCs w:val="23"/>
        </w:rPr>
        <w:t> or </w:t>
      </w:r>
      <w:hyperlink r:id="rId12" w:history="1">
        <w:r>
          <w:rPr>
            <w:rStyle w:val="Hyperlink"/>
            <w:rFonts w:ascii="PT Sans" w:hAnsi="PT Sans"/>
            <w:color w:val="0174C0"/>
            <w:sz w:val="23"/>
            <w:szCs w:val="23"/>
            <w:bdr w:val="none" w:sz="0" w:space="0" w:color="auto" w:frame="1"/>
          </w:rPr>
          <w:t>furnaces@can-eng.com</w:t>
        </w:r>
      </w:hyperlink>
      <w:r>
        <w:rPr>
          <w:rFonts w:ascii="PT Sans" w:hAnsi="PT Sans"/>
          <w:color w:val="131313"/>
          <w:sz w:val="23"/>
          <w:szCs w:val="23"/>
        </w:rPr>
        <w:t>.</w:t>
      </w:r>
    </w:p>
    <w:p w14:paraId="163083A3" w14:textId="77777777" w:rsidR="00DC15C9" w:rsidRDefault="00DC15C9" w:rsidP="00A17578">
      <w:pPr>
        <w:pStyle w:val="NormalWeb"/>
        <w:shd w:val="clear" w:color="auto" w:fill="FFFFFF"/>
        <w:spacing w:before="0" w:beforeAutospacing="0" w:after="0" w:afterAutospacing="0"/>
        <w:textAlignment w:val="baseline"/>
        <w:rPr>
          <w:rFonts w:ascii="PT Sans" w:hAnsi="PT Sans"/>
          <w:color w:val="131313"/>
          <w:sz w:val="23"/>
          <w:szCs w:val="23"/>
        </w:rPr>
      </w:pPr>
    </w:p>
    <w:p w14:paraId="7306E06B" w14:textId="280BCCD1" w:rsidR="00DC15C9" w:rsidRPr="00E13079" w:rsidRDefault="00DC15C9" w:rsidP="00A17578">
      <w:pPr>
        <w:pStyle w:val="NormalWeb"/>
        <w:shd w:val="clear" w:color="auto" w:fill="FFFFFF"/>
        <w:spacing w:before="0" w:beforeAutospacing="0" w:after="0" w:afterAutospacing="0"/>
        <w:textAlignment w:val="baseline"/>
        <w:rPr>
          <w:lang w:val="en-US"/>
        </w:rPr>
      </w:pPr>
      <w:r w:rsidRPr="00DC15C9">
        <w:rPr>
          <w:lang w:val="en-US"/>
        </w:rPr>
        <w:lastRenderedPageBreak/>
        <w:drawing>
          <wp:inline distT="0" distB="0" distL="0" distR="0" wp14:anchorId="67BD29B7" wp14:editId="0B5487FB">
            <wp:extent cx="5943600" cy="3953510"/>
            <wp:effectExtent l="0" t="0" r="0" b="8890"/>
            <wp:docPr id="2064671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71845" name=""/>
                    <pic:cNvPicPr/>
                  </pic:nvPicPr>
                  <pic:blipFill>
                    <a:blip r:embed="rId13"/>
                    <a:stretch>
                      <a:fillRect/>
                    </a:stretch>
                  </pic:blipFill>
                  <pic:spPr>
                    <a:xfrm>
                      <a:off x="0" y="0"/>
                      <a:ext cx="5943600" cy="3953510"/>
                    </a:xfrm>
                    <a:prstGeom prst="rect">
                      <a:avLst/>
                    </a:prstGeom>
                  </pic:spPr>
                </pic:pic>
              </a:graphicData>
            </a:graphic>
          </wp:inline>
        </w:drawing>
      </w:r>
    </w:p>
    <w:sectPr w:rsidR="00DC15C9" w:rsidRPr="00E13079" w:rsidSect="00A0362F">
      <w:headerReference w:type="default" r:id="rId14"/>
      <w:pgSz w:w="12240" w:h="15840"/>
      <w:pgMar w:top="308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44F44" w14:textId="77777777" w:rsidR="001653BA" w:rsidRDefault="001653BA" w:rsidP="00A0362F">
      <w:pPr>
        <w:spacing w:after="0" w:line="240" w:lineRule="auto"/>
      </w:pPr>
      <w:r>
        <w:separator/>
      </w:r>
    </w:p>
  </w:endnote>
  <w:endnote w:type="continuationSeparator" w:id="0">
    <w:p w14:paraId="2442DB03" w14:textId="77777777" w:rsidR="001653BA" w:rsidRDefault="001653BA" w:rsidP="00A0362F">
      <w:pPr>
        <w:spacing w:after="0" w:line="240" w:lineRule="auto"/>
      </w:pPr>
      <w:r>
        <w:continuationSeparator/>
      </w:r>
    </w:p>
  </w:endnote>
  <w:endnote w:type="continuationNotice" w:id="1">
    <w:p w14:paraId="1E0D5294" w14:textId="77777777" w:rsidR="001653BA" w:rsidRDefault="001653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2598D" w14:textId="77777777" w:rsidR="001653BA" w:rsidRDefault="001653BA" w:rsidP="00A0362F">
      <w:pPr>
        <w:spacing w:after="0" w:line="240" w:lineRule="auto"/>
      </w:pPr>
      <w:r>
        <w:separator/>
      </w:r>
    </w:p>
  </w:footnote>
  <w:footnote w:type="continuationSeparator" w:id="0">
    <w:p w14:paraId="79790C65" w14:textId="77777777" w:rsidR="001653BA" w:rsidRDefault="001653BA" w:rsidP="00A0362F">
      <w:pPr>
        <w:spacing w:after="0" w:line="240" w:lineRule="auto"/>
      </w:pPr>
      <w:r>
        <w:continuationSeparator/>
      </w:r>
    </w:p>
  </w:footnote>
  <w:footnote w:type="continuationNotice" w:id="1">
    <w:p w14:paraId="53C16448" w14:textId="77777777" w:rsidR="001653BA" w:rsidRDefault="001653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C078" w14:textId="4898433C" w:rsidR="00A0362F" w:rsidRDefault="002A76F4">
    <w:pPr>
      <w:pStyle w:val="Header"/>
    </w:pPr>
    <w:r>
      <w:rPr>
        <w:noProof/>
      </w:rPr>
      <w:drawing>
        <wp:anchor distT="0" distB="0" distL="114300" distR="114300" simplePos="0" relativeHeight="251658240" behindDoc="1" locked="0" layoutInCell="1" allowOverlap="1" wp14:anchorId="145826FF" wp14:editId="77307EC0">
          <wp:simplePos x="0" y="0"/>
          <wp:positionH relativeFrom="column">
            <wp:posOffset>-895350</wp:posOffset>
          </wp:positionH>
          <wp:positionV relativeFrom="page">
            <wp:posOffset>-84455</wp:posOffset>
          </wp:positionV>
          <wp:extent cx="7696200" cy="10133965"/>
          <wp:effectExtent l="0" t="0" r="0" b="635"/>
          <wp:wrapNone/>
          <wp:docPr id="554083513" name="Picture 6" descr="A close-up of a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white scree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96200" cy="101339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079"/>
    <w:rsid w:val="0001247A"/>
    <w:rsid w:val="000405B5"/>
    <w:rsid w:val="000549A5"/>
    <w:rsid w:val="000A32A8"/>
    <w:rsid w:val="001247BA"/>
    <w:rsid w:val="001653BA"/>
    <w:rsid w:val="001B651F"/>
    <w:rsid w:val="00204522"/>
    <w:rsid w:val="00273E1A"/>
    <w:rsid w:val="00282EBC"/>
    <w:rsid w:val="002A76F4"/>
    <w:rsid w:val="002B54E4"/>
    <w:rsid w:val="002C2A3A"/>
    <w:rsid w:val="002C6708"/>
    <w:rsid w:val="003439D4"/>
    <w:rsid w:val="00393CC3"/>
    <w:rsid w:val="003B042A"/>
    <w:rsid w:val="003B3738"/>
    <w:rsid w:val="003C12FA"/>
    <w:rsid w:val="003F118B"/>
    <w:rsid w:val="003F6505"/>
    <w:rsid w:val="00411EE7"/>
    <w:rsid w:val="00470EBA"/>
    <w:rsid w:val="00471EE1"/>
    <w:rsid w:val="00486608"/>
    <w:rsid w:val="004C094F"/>
    <w:rsid w:val="004D37C8"/>
    <w:rsid w:val="004F12AB"/>
    <w:rsid w:val="005148AA"/>
    <w:rsid w:val="005C0602"/>
    <w:rsid w:val="00642E4D"/>
    <w:rsid w:val="006451C0"/>
    <w:rsid w:val="00652E9B"/>
    <w:rsid w:val="006641CE"/>
    <w:rsid w:val="006646A8"/>
    <w:rsid w:val="00667D26"/>
    <w:rsid w:val="006F6DF8"/>
    <w:rsid w:val="00710BE2"/>
    <w:rsid w:val="0074781B"/>
    <w:rsid w:val="0075587C"/>
    <w:rsid w:val="00790E32"/>
    <w:rsid w:val="007A2B26"/>
    <w:rsid w:val="007B1E4F"/>
    <w:rsid w:val="007D4AB8"/>
    <w:rsid w:val="007D7E76"/>
    <w:rsid w:val="007E0963"/>
    <w:rsid w:val="007E12E1"/>
    <w:rsid w:val="007F4EBE"/>
    <w:rsid w:val="00817C7E"/>
    <w:rsid w:val="00856717"/>
    <w:rsid w:val="00865418"/>
    <w:rsid w:val="008F4464"/>
    <w:rsid w:val="00923C33"/>
    <w:rsid w:val="009615C0"/>
    <w:rsid w:val="00A0362F"/>
    <w:rsid w:val="00A17578"/>
    <w:rsid w:val="00A4143E"/>
    <w:rsid w:val="00A64069"/>
    <w:rsid w:val="00A772F8"/>
    <w:rsid w:val="00AF745E"/>
    <w:rsid w:val="00B0168E"/>
    <w:rsid w:val="00B56FD7"/>
    <w:rsid w:val="00BA61C4"/>
    <w:rsid w:val="00BC3690"/>
    <w:rsid w:val="00BE6407"/>
    <w:rsid w:val="00C073F3"/>
    <w:rsid w:val="00C2749F"/>
    <w:rsid w:val="00C40BA0"/>
    <w:rsid w:val="00D17BDD"/>
    <w:rsid w:val="00D6676F"/>
    <w:rsid w:val="00DC15C9"/>
    <w:rsid w:val="00DF3ECE"/>
    <w:rsid w:val="00E13079"/>
    <w:rsid w:val="00E20A58"/>
    <w:rsid w:val="00EE6556"/>
    <w:rsid w:val="00EF0AB3"/>
    <w:rsid w:val="00F404F2"/>
    <w:rsid w:val="00F712DE"/>
    <w:rsid w:val="00F727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26F8"/>
  <w15:chartTrackingRefBased/>
  <w15:docId w15:val="{02BC612A-E1E0-4F9E-BFF1-D21532323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E6407"/>
    <w:rPr>
      <w:color w:val="0000FF"/>
      <w:u w:val="single"/>
    </w:rPr>
  </w:style>
  <w:style w:type="paragraph" w:styleId="NormalWeb">
    <w:name w:val="Normal (Web)"/>
    <w:basedOn w:val="Normal"/>
    <w:uiPriority w:val="99"/>
    <w:unhideWhenUsed/>
    <w:rsid w:val="00BE640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basedOn w:val="Normal"/>
    <w:uiPriority w:val="1"/>
    <w:qFormat/>
    <w:rsid w:val="00A0362F"/>
    <w:pPr>
      <w:spacing w:after="0" w:line="240" w:lineRule="auto"/>
    </w:pPr>
    <w:rPr>
      <w:rFonts w:eastAsiaTheme="minorEastAsia"/>
      <w:lang w:val="en-US"/>
    </w:rPr>
  </w:style>
  <w:style w:type="paragraph" w:styleId="Header">
    <w:name w:val="header"/>
    <w:basedOn w:val="Normal"/>
    <w:link w:val="HeaderChar"/>
    <w:uiPriority w:val="99"/>
    <w:unhideWhenUsed/>
    <w:rsid w:val="00A036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62F"/>
  </w:style>
  <w:style w:type="paragraph" w:styleId="Footer">
    <w:name w:val="footer"/>
    <w:basedOn w:val="Normal"/>
    <w:link w:val="FooterChar"/>
    <w:uiPriority w:val="99"/>
    <w:unhideWhenUsed/>
    <w:rsid w:val="00A036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62F"/>
  </w:style>
  <w:style w:type="paragraph" w:styleId="Revision">
    <w:name w:val="Revision"/>
    <w:hidden/>
    <w:uiPriority w:val="99"/>
    <w:semiHidden/>
    <w:rsid w:val="00B56F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958778">
      <w:bodyDiv w:val="1"/>
      <w:marLeft w:val="0"/>
      <w:marRight w:val="0"/>
      <w:marTop w:val="0"/>
      <w:marBottom w:val="0"/>
      <w:divBdr>
        <w:top w:val="none" w:sz="0" w:space="0" w:color="auto"/>
        <w:left w:val="none" w:sz="0" w:space="0" w:color="auto"/>
        <w:bottom w:val="none" w:sz="0" w:space="0" w:color="auto"/>
        <w:right w:val="none" w:sz="0" w:space="0" w:color="auto"/>
      </w:divBdr>
    </w:div>
    <w:div w:id="358745886">
      <w:bodyDiv w:val="1"/>
      <w:marLeft w:val="0"/>
      <w:marRight w:val="0"/>
      <w:marTop w:val="0"/>
      <w:marBottom w:val="0"/>
      <w:divBdr>
        <w:top w:val="none" w:sz="0" w:space="0" w:color="auto"/>
        <w:left w:val="none" w:sz="0" w:space="0" w:color="auto"/>
        <w:bottom w:val="none" w:sz="0" w:space="0" w:color="auto"/>
        <w:right w:val="none" w:sz="0" w:space="0" w:color="auto"/>
      </w:divBdr>
    </w:div>
    <w:div w:id="942342303">
      <w:bodyDiv w:val="1"/>
      <w:marLeft w:val="0"/>
      <w:marRight w:val="0"/>
      <w:marTop w:val="0"/>
      <w:marBottom w:val="0"/>
      <w:divBdr>
        <w:top w:val="none" w:sz="0" w:space="0" w:color="auto"/>
        <w:left w:val="none" w:sz="0" w:space="0" w:color="auto"/>
        <w:bottom w:val="none" w:sz="0" w:space="0" w:color="auto"/>
        <w:right w:val="none" w:sz="0" w:space="0" w:color="auto"/>
      </w:divBdr>
    </w:div>
    <w:div w:id="1001279981">
      <w:bodyDiv w:val="1"/>
      <w:marLeft w:val="0"/>
      <w:marRight w:val="0"/>
      <w:marTop w:val="0"/>
      <w:marBottom w:val="0"/>
      <w:divBdr>
        <w:top w:val="none" w:sz="0" w:space="0" w:color="auto"/>
        <w:left w:val="none" w:sz="0" w:space="0" w:color="auto"/>
        <w:bottom w:val="none" w:sz="0" w:space="0" w:color="auto"/>
        <w:right w:val="none" w:sz="0" w:space="0" w:color="auto"/>
      </w:divBdr>
    </w:div>
    <w:div w:id="1898661290">
      <w:bodyDiv w:val="1"/>
      <w:marLeft w:val="0"/>
      <w:marRight w:val="0"/>
      <w:marTop w:val="0"/>
      <w:marBottom w:val="0"/>
      <w:divBdr>
        <w:top w:val="none" w:sz="0" w:space="0" w:color="auto"/>
        <w:left w:val="none" w:sz="0" w:space="0" w:color="auto"/>
        <w:bottom w:val="none" w:sz="0" w:space="0" w:color="auto"/>
        <w:right w:val="none" w:sz="0" w:space="0" w:color="auto"/>
      </w:divBdr>
    </w:div>
    <w:div w:id="2062361222">
      <w:bodyDiv w:val="1"/>
      <w:marLeft w:val="0"/>
      <w:marRight w:val="0"/>
      <w:marTop w:val="0"/>
      <w:marBottom w:val="0"/>
      <w:divBdr>
        <w:top w:val="none" w:sz="0" w:space="0" w:color="auto"/>
        <w:left w:val="none" w:sz="0" w:space="0" w:color="auto"/>
        <w:bottom w:val="none" w:sz="0" w:space="0" w:color="auto"/>
        <w:right w:val="none" w:sz="0" w:space="0" w:color="auto"/>
      </w:divBdr>
    </w:div>
    <w:div w:id="2087454740">
      <w:bodyDiv w:val="1"/>
      <w:marLeft w:val="0"/>
      <w:marRight w:val="0"/>
      <w:marTop w:val="0"/>
      <w:marBottom w:val="0"/>
      <w:divBdr>
        <w:top w:val="none" w:sz="0" w:space="0" w:color="auto"/>
        <w:left w:val="none" w:sz="0" w:space="0" w:color="auto"/>
        <w:bottom w:val="none" w:sz="0" w:space="0" w:color="auto"/>
        <w:right w:val="none" w:sz="0" w:space="0" w:color="auto"/>
      </w:divBdr>
    </w:div>
    <w:div w:id="213444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urnaces@can-eng.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umming@can-eng.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cumming@can-eng.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dded51-dce3-47d9-8b2c-b66dc1c56851" xsi:nil="true"/>
    <lcf76f155ced4ddcb4097134ff3c332f xmlns="25849daf-9826-4127-8094-e0fd90615d0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EC8C92EED37548AD05225F6BE18901" ma:contentTypeVersion="19" ma:contentTypeDescription="Create a new document." ma:contentTypeScope="" ma:versionID="f254fa6939703303441ce8ad9cca4844">
  <xsd:schema xmlns:xsd="http://www.w3.org/2001/XMLSchema" xmlns:xs="http://www.w3.org/2001/XMLSchema" xmlns:p="http://schemas.microsoft.com/office/2006/metadata/properties" xmlns:ns2="3added51-dce3-47d9-8b2c-b66dc1c56851" xmlns:ns3="25849daf-9826-4127-8094-e0fd90615d0f" targetNamespace="http://schemas.microsoft.com/office/2006/metadata/properties" ma:root="true" ma:fieldsID="e53ee3f4ab2b964fdd67b77b10adad18" ns2:_="" ns3:_="">
    <xsd:import namespace="3added51-dce3-47d9-8b2c-b66dc1c56851"/>
    <xsd:import namespace="25849daf-9826-4127-8094-e0fd90615d0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ded51-dce3-47d9-8b2c-b66dc1c5685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d3f9e62-0f29-4577-9c78-d68f4bf1c8b7}" ma:internalName="TaxCatchAll" ma:showField="CatchAllData" ma:web="3added51-dce3-47d9-8b2c-b66dc1c568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849daf-9826-4127-8094-e0fd90615d0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365dd8e-f730-4770-90dd-0f8c45985b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429C9-6E9C-42C2-8447-F96D40BD1581}">
  <ds:schemaRefs>
    <ds:schemaRef ds:uri="http://schemas.microsoft.com/sharepoint/v3/contenttype/forms"/>
  </ds:schemaRefs>
</ds:datastoreItem>
</file>

<file path=customXml/itemProps2.xml><?xml version="1.0" encoding="utf-8"?>
<ds:datastoreItem xmlns:ds="http://schemas.openxmlformats.org/officeDocument/2006/customXml" ds:itemID="{14C57055-47E7-4DD7-825F-360B898BF108}">
  <ds:schemaRefs>
    <ds:schemaRef ds:uri="http://schemas.microsoft.com/office/2006/metadata/properties"/>
    <ds:schemaRef ds:uri="http://schemas.microsoft.com/office/infopath/2007/PartnerControls"/>
    <ds:schemaRef ds:uri="3added51-dce3-47d9-8b2c-b66dc1c56851"/>
    <ds:schemaRef ds:uri="25849daf-9826-4127-8094-e0fd90615d0f"/>
  </ds:schemaRefs>
</ds:datastoreItem>
</file>

<file path=customXml/itemProps3.xml><?xml version="1.0" encoding="utf-8"?>
<ds:datastoreItem xmlns:ds="http://schemas.openxmlformats.org/officeDocument/2006/customXml" ds:itemID="{94B3E1B8-68DA-416B-85A4-5785A2299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ded51-dce3-47d9-8b2c-b66dc1c56851"/>
    <ds:schemaRef ds:uri="25849daf-9826-4127-8094-e0fd90615d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Cumming</dc:creator>
  <cp:keywords/>
  <dc:description/>
  <cp:lastModifiedBy>Scott Cumming</cp:lastModifiedBy>
  <cp:revision>50</cp:revision>
  <dcterms:created xsi:type="dcterms:W3CDTF">2025-01-22T15:21:00Z</dcterms:created>
  <dcterms:modified xsi:type="dcterms:W3CDTF">2026-08-11T19:09:00Z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0x01010022EC8C92EED37548AD05225F6BE18901</vt:lpwstr>
  </property>
  <property fmtid="{D5CDD505-2E9C-101B-9397-08002B2CF9AE}" pid="3" name="MediaServiceImageTags">
    <vt:lpwstr/>
  </property>
</Properties>
</file>